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jpg" ContentType="image/jpeg"/>
  <Override PartName="/word/media/rId123.jpg" ContentType="image/jpeg"/>
  <Override PartName="/word/media/rId129.jpg" ContentType="image/jpeg"/>
  <Override PartName="/word/media/rId125.jpg" ContentType="image/jpeg"/>
  <Override PartName="/word/media/rId127.jpg" ContentType="image/jpeg"/>
  <Override PartName="/word/media/rId133.jpg" ContentType="image/jpeg"/>
  <Override PartName="/word/media/rId131.jpg" ContentType="image/jpeg"/>
  <Override PartName="/word/media/rId117.jpg" ContentType="image/jpeg"/>
  <Override PartName="/word/media/rId121.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for</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does</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 &lt;</w:t>
      </w:r>
      <w:hyperlink r:id="rId23">
        <w:r>
          <w:rPr>
            <w:rStyle w:val="Hyperlink"/>
          </w:rPr>
          <w:t xml:space="preserve">https://doi.org/10.5281/zenodo.4050275</w:t>
        </w:r>
      </w:hyperlink>
      <w:r>
        <w:t xml:space="preserve"> </w:t>
      </w:r>
      <w:r>
        <w:t xml:space="preserve">&gt;</w:t>
      </w:r>
      <w:r>
        <w:t xml:space="preserve"> </w:t>
      </w:r>
      <w:r>
        <w:t xml:space="preserve">(Soranno et al. 2017, 2019, Stachelek and Oliver 2017, Hollister et al. 2020)</w:t>
      </w:r>
      <w:r>
        <w:t xml:space="preserve">.</w:t>
      </w:r>
    </w:p>
    <w:p>
      <w:pPr>
        <w:pStyle w:val="Heading1"/>
      </w:pPr>
      <w:bookmarkStart w:id="24" w:name="methods"/>
      <w:r>
        <w:t xml:space="preserve">Methods</w:t>
      </w:r>
      <w:bookmarkEnd w:id="24"/>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in each of May/June, July/August, and September/October,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this time, the LAGOSNE data do not extend beyond 2013 thus sites needed to have a sampling event in 1993-2002 and in 2003-2013 to be included.</w:t>
      </w:r>
    </w:p>
    <w:p>
      <w:pPr>
        <w:pStyle w:val="BodyText"/>
      </w:pPr>
      <w:r>
        <w:t xml:space="preserve">Lastly, 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Hydropgraphy Dataset waterbody polygons. Additional details are available in Soranno et al. </w:t>
      </w:r>
      <w:r>
        <w:t xml:space="preserve">(2017)</w:t>
      </w:r>
      <w:r>
        <w:t xml:space="preserve">.</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degreaded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29">
        <w:r>
          <w:rPr>
            <w:rStyle w:val="Hyperlink"/>
          </w:rPr>
          <w:t xml:space="preserve">https://github.com/usepa/ri_wq_trends/blob/master/R/schematic_anomaly.R</w:t>
        </w:r>
      </w:hyperlink>
      <w:r>
        <w:t xml:space="preserve"> </w:t>
      </w:r>
      <w:r>
        <w:t xml:space="preserve">and is archived at &lt;</w:t>
      </w:r>
      <w:hyperlink r:id="rId23">
        <w:r>
          <w:rPr>
            <w:rStyle w:val="Hyperlink"/>
          </w:rPr>
          <w:t xml:space="preserve">https://doi.org/10.5281/zenodo.4050275</w:t>
        </w:r>
      </w:hyperlink>
      <w:r>
        <w:t xml:space="preserve"> </w:t>
      </w:r>
      <w:r>
        <w:t xml:space="preserve">&gt;</w:t>
      </w:r>
      <w:r>
        <w:t xml:space="preserve"> </w:t>
      </w:r>
      <w:r>
        <w:t xml:space="preserve">(Hollister et al. 2020)</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pStyle w:val="Compact"/>
        <w:numPr>
          <w:numId w:val="1001"/>
          <w:ilvl w:val="0"/>
        </w:numPr>
      </w:pPr>
      <w:r>
        <w:t xml:space="preserve">Calculate the long-term reference median for each site. This results in a single long-term median for each of the sites.</w:t>
      </w:r>
    </w:p>
    <w:p>
      <w:pPr>
        <w:pStyle w:val="Compact"/>
        <w:numPr>
          <w:numId w:val="1001"/>
          <w:ilvl w:val="0"/>
        </w:numPr>
      </w:pPr>
      <w:r>
        <w:t xml:space="preserve">Calculate the anomaly for each annual median at each site by subtracting the sites reference long-term medians from the sites yearly median.</w:t>
      </w:r>
    </w:p>
    <w:p>
      <w:pPr>
        <w:pStyle w:val="Compact"/>
        <w:numPr>
          <w:numId w:val="1001"/>
          <w:ilvl w:val="0"/>
        </w:numPr>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(Table 1) and late in the time frame for the LAGOSNE data (Table 2).</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are defining a trend with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and similarly, the state of Rhode Island criteria for temperature increase is 2.2°C or 0.022°C per year over a century</w:t>
      </w:r>
      <w:r>
        <w:t xml:space="preserve"> </w:t>
      </w:r>
      <w:r>
        <w:t xml:space="preserve">(State of Rhode Island Department of Environmental Management Office of Water Resources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 change from an oligotrophic state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30" w:name="results"/>
      <w:r>
        <w:t xml:space="preserve">Results</w:t>
      </w:r>
      <w:bookmarkEnd w:id="30"/>
    </w:p>
    <w:p>
      <w:pPr>
        <w:pStyle w:val="FirstParagraph"/>
      </w:pPr>
      <w:r>
        <w:t xml:space="preserve">Lakes and reservoirs in Rhode Island tended to be smaller and shallower, on average than lakes included in the complete LAGOSNE region (Table 3). Also, Rhode Island lakes tended to occur in landscapes (i.e. a 500 meter buffer) with a lower average percent agriculture, more developed land, and comparable forested area than lakes in the LAGOSNE region (Table 3).</w:t>
      </w:r>
    </w:p>
    <w:p>
      <w:pPr>
        <w:pStyle w:val="BodyText"/>
      </w:pPr>
      <w:r>
        <w:t xml:space="preserve">During the period of 1993 to 2016, Rhode Island lakes and reservoirs in our dataset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4).</w:t>
      </w:r>
    </w:p>
    <w:p>
      <w:pPr>
        <w:pStyle w:val="BodyText"/>
      </w:pPr>
      <w:r>
        <w:t xml:space="preserve">For lakes and reservoirs in the larger region represented by the LAGOSNE States, median TN was 530 µg/l, median TP was 16 µg/l, median TN:TP ratio was 62.2 molar, and median chlorophyll</w:t>
      </w:r>
      <w:r>
        <w:t xml:space="preserve"> </w:t>
      </w:r>
      <w:r>
        <w:rPr>
          <w:i/>
        </w:rPr>
        <w:t xml:space="preserve">a</w:t>
      </w:r>
      <w:r>
        <w:t xml:space="preserve"> </w:t>
      </w:r>
      <w:r>
        <w:t xml:space="preserve">was 6 µg/l (Table 5).</w:t>
      </w:r>
    </w:p>
    <w:p>
      <w:pPr>
        <w:pStyle w:val="BodyText"/>
      </w:pPr>
      <w:r>
        <w:t xml:space="preserve">On average, the Rhode Island lakes and reservoirs show lower concentrations of nutrients with more nitrogen relative to phosphorus than in the larger LAGOSNE region (Table 4, Table 5). Chlorophyll concentrations also show lower average concentrations in Rhode Island (Table 4, Table 5). Furthermore, the distribution of chlorophyll based trophic state also shows a larger percentage of oligotrophic and mesotrophic lakes in Rhode Island and more eutrophic and hypereutrophic lakes in the larger LAGOSNE region</w:t>
      </w:r>
      <w:r>
        <w:t xml:space="preserve"> </w:t>
      </w:r>
      <w:r>
        <w:t xml:space="preserve">(Table 6; Nürnberg 1996)</w:t>
      </w:r>
      <w:r>
        <w:t xml:space="preserve">. These results follow what would be expected given that, on average, LAGOSNE lakes are more dominated by agricultural lands than are Rhode Island lakes (Table 3).</w:t>
      </w:r>
    </w:p>
    <w:p>
      <w:pPr>
        <w:pStyle w:val="Heading2"/>
      </w:pPr>
      <w:bookmarkStart w:id="31" w:name="state-wide-trends-in-water-quality"/>
      <w:r>
        <w:t xml:space="preserve">State-wide trends in water quality</w:t>
      </w:r>
      <w:bookmarkEnd w:id="31"/>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3, Table 7).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4A., Table 7).</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5A.).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7). Total phosphorus shows essentially no trend over time in the yearly anomalies with little statistical support (slope = 0.0083 , p = 0.86) and years that are over the median do not show any pattern (Figure 6A., Table 7).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7A., Table 7).</w:t>
      </w:r>
    </w:p>
    <w:p>
      <w:pPr>
        <w:pStyle w:val="Heading2"/>
      </w:pPr>
      <w:bookmarkStart w:id="32" w:name="regional-trends-in-water-quality"/>
      <w:r>
        <w:t xml:space="preserve">Regional trends in water quality</w:t>
      </w:r>
      <w:bookmarkEnd w:id="32"/>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0.019, p = 0.13, Figure 4B., Table 7). Total nitrogen showed a slight decreasing trend with weak statistical support and slope less than the 3.5 μg/L that would result in a trophic state change over a century, thus there is little support for a meaningful trend in TN at the regional scale (slope = -0.45, p = 0.62, Figure 5B., Table 7). Furthermore, The last two years for which LAGOSNE had data on total nitrogen were from a relatively small number of sites (Table 2) and those values may not be representative. Total phosphorus showed a very small increasing trend and there is statistical support for that trend. The slope however suggests little support for an ecological meaningful change in total phosphorus (slope = 0.054, p = 0.0038, Figure 6B., Table 7). Lastly, the TN:TP ratio showed little change (slope = -0.14, p = 0.53, Figure 7B., Table 7) as none of our criteria for a trend were met. Although, there appears to be a non-linear trend that suggests increasing TN:TP early in the time period and decreasing TN:TP later, we feel we cannot effectively evaluate this though as total nitrogen measurements were rare in 2011 (Table 2) and sites that had both nitrogen and phosphorus were even rarer. This low median anomaly should be interpreted with this caveat in mind. Taken together we feel our results largely match the findings of Oliver et al. </w:t>
      </w:r>
      <w:r>
        <w:t xml:space="preserve">(2017)</w:t>
      </w:r>
      <w:r>
        <w:t xml:space="preserve"> </w:t>
      </w:r>
      <w:r>
        <w:t xml:space="preserve">that there is stasis in lake nutrients and chlorophyll within the LAGOSNE region. Data for all figures are available as a comma-separated values file,</w:t>
      </w:r>
      <w:r>
        <w:t xml:space="preserve"> </w:t>
      </w:r>
      <w:r>
        <w:rPr>
          <w:rStyle w:val="VerbatimChar"/>
        </w:rPr>
        <w:t xml:space="preserve">yearly_average_anomaly.csv</w:t>
      </w:r>
      <w:r>
        <w:t xml:space="preserve"> </w:t>
      </w:r>
      <w:r>
        <w:t xml:space="preserve">from</w:t>
      </w:r>
      <w:r>
        <w:t xml:space="preserve"> </w:t>
      </w:r>
      <w:hyperlink r:id="rId33">
        <w:r>
          <w:rPr>
            <w:rStyle w:val="Hyperlink"/>
          </w:rPr>
          <w:t xml:space="preserve">https://github.com/USEPA/ri_wq_trends/blob/master/data/yearly_average_anomaly.csv</w:t>
        </w:r>
      </w:hyperlink>
      <w:r>
        <w:t xml:space="preserve"> </w:t>
      </w:r>
      <w:r>
        <w:t xml:space="preserve">and are archived at &lt;</w:t>
      </w:r>
      <w:hyperlink r:id="rId23">
        <w:r>
          <w:rPr>
            <w:rStyle w:val="Hyperlink"/>
          </w:rPr>
          <w:t xml:space="preserve">https://doi.org/10.5281/zenodo.4050275</w:t>
        </w:r>
      </w:hyperlink>
      <w:r>
        <w:t xml:space="preserve"> </w:t>
      </w:r>
      <w:r>
        <w:t xml:space="preserve">&gt;</w:t>
      </w:r>
      <w:r>
        <w:t xml:space="preserve"> </w:t>
      </w:r>
      <w:r>
        <w:t xml:space="preserve">(Hollister et al. 2020)</w:t>
      </w:r>
      <w:r>
        <w:t xml:space="preserve">.</w:t>
      </w:r>
    </w:p>
    <w:p>
      <w:pPr>
        <w:pStyle w:val="Heading1"/>
      </w:pPr>
      <w:bookmarkStart w:id="34" w:name="discussion-and-conclusions"/>
      <w:r>
        <w:t xml:space="preserve">Discussion and Conclusions</w:t>
      </w:r>
      <w:bookmarkEnd w:id="34"/>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5" w:name="trends"/>
      <w:r>
        <w:t xml:space="preserve">Trends</w:t>
      </w:r>
      <w:bookmarkEnd w:id="35"/>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(Table 7).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National Center for Environmental Information 2020)</w:t>
      </w:r>
      <w:r>
        <w:t xml:space="preserve">. On the other hand, 2006 was not unusually cool (11th lowest out of 24 years) but it was the wettest year on record for this period</w:t>
      </w:r>
      <w:r>
        <w:t xml:space="preserve"> </w:t>
      </w:r>
      <w:r>
        <w:t xml:space="preserve">(NOAA National Center for Environmental Information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7).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changes in water quality at finer temporal scales, such as monthly or seasonal, may be different than the annual trends we analyzed. Evidence in Rhode Island points to possible lengthening of the growing season as both May and October show increasing temperature trends over time</w:t>
      </w:r>
      <w:r>
        <w:t xml:space="preserve"> </w:t>
      </w:r>
      <w:r>
        <w:t xml:space="preserve">(NOAA National Center for Environmental Information 2020)</w:t>
      </w:r>
      <w:r>
        <w:t xml:space="preserve">. Furthermore, preliminary analysis of the URIWW data back this up with mean temperature for May 1993 to May 1995 cooler by nearly a degree than mean temperature for May 2014 through May 2016. Additionally, the current trophic state of a given waterbody may partly explain the chlorophyll</w:t>
      </w:r>
      <w:r>
        <w:t xml:space="preserve"> </w:t>
      </w:r>
      <w:r>
        <w:rPr>
          <w:i/>
        </w:rPr>
        <w:t xml:space="preserve">a</w:t>
      </w:r>
      <w:r>
        <w:t xml:space="preserve"> </w:t>
      </w:r>
      <w:r>
        <w:t xml:space="preserve">changes in that lake. For instance, are oligotrophic lakes showing different trends than eutrophic lakes or are all lakes showing similar trends regardless of current trophic status? A full analysis and interpretation of trends by trophic state is beyond the scope of this study. However, we conducted a quick,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 Lastly, there are other drivers of these trends that could be analyzed including, changes in rainfall, extreme weather events, other climate mediated factors, or analyses at different spatial scales. The analysis we report in this paper focuses on long term trends at broader scales. It would be possible to use a similar approach to look at trends of individual lakes which could be a first step in trying to identify drivers of increasing chlorophyll. These questions are beyond the scope of this study, but all warrant further investigation.</w:t>
      </w:r>
    </w:p>
    <w:p>
      <w:pPr>
        <w:pStyle w:val="Heading2"/>
      </w:pPr>
      <w:bookmarkStart w:id="36" w:name="broader-implications"/>
      <w:r>
        <w:t xml:space="preserve">Broader implications</w:t>
      </w:r>
      <w:bookmarkEnd w:id="36"/>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citizen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
        </w:rPr>
        <w:t xml:space="preserve">a</w:t>
      </w:r>
      <w:r>
        <w:t xml:space="preserve"> </w:t>
      </w:r>
      <w:r>
        <w:t xml:space="preserve">levels as chlorophyll</w:t>
      </w:r>
      <w:r>
        <w:t xml:space="preserve"> </w:t>
      </w:r>
      <w:r>
        <w:rPr>
          <w:i/>
        </w:rPr>
        <w:t xml:space="preserve">a</w:t>
      </w:r>
      <w:r>
        <w:t xml:space="preserve"> </w:t>
      </w:r>
      <w:r>
        <w:t xml:space="preserve">has been linked to probability of the presence of bloom indicators such as microcystin</w:t>
      </w:r>
      <w:r>
        <w:t xml:space="preserve"> </w:t>
      </w:r>
      <w:r>
        <w:t xml:space="preserve">(Hollister and Kreakie 2016)</w:t>
      </w:r>
      <w:r>
        <w:t xml:space="preserve">. Our results are consistent then with the prior research that temperature changes could be driving increased chlorophyll.</w:t>
      </w:r>
    </w:p>
    <w:p>
      <w:pPr>
        <w:pStyle w:val="BodyText"/>
      </w:pPr>
      <w:r>
        <w:t xml:space="preserve">One possible hypothesis is that broad scale warming is difficult to manage on a sub-regional scale thus other mechanisms and approaches, such as greater reductions in nutrients might compensate for warmer water temperatures and possible longer growing seasons. Management efforts could focus on many approaches to further reduce nutrient loads such as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There are of course many other hypotheses that we could form through information obtained by long-term trends such as those reported here. Additional work is certainly needed to explicitly examine the drivers of these trends in Rhode Island lakes and reservoirs and turn that information into management action.</w:t>
      </w:r>
    </w:p>
    <w:p>
      <w:pPr>
        <w:pStyle w:val="Heading2"/>
      </w:pPr>
      <w:bookmarkStart w:id="37" w:name="data-analysis-approach"/>
      <w:r>
        <w:t xml:space="preserve">Data analysis approach</w:t>
      </w:r>
      <w:bookmarkEnd w:id="37"/>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8), and apply the site-specific analysis to those simulated data (Figure 9). The average of the yearly measured values shows a trend (slope = 0.4 and p-value = 0.0000003), whereas the site-specific anomalies correctly showed no trend (slope = -0.029 and p-value = 0.49, Figure 9).</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long-term environmental trends.</w:t>
      </w:r>
    </w:p>
    <w:p>
      <w:pPr>
        <w:pStyle w:val="Heading1"/>
      </w:pPr>
      <w:bookmarkStart w:id="38" w:name="acknowledgments"/>
      <w:r>
        <w:t xml:space="preserve">Acknowledgments</w:t>
      </w:r>
      <w:bookmarkEnd w:id="38"/>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9" w:name="bibliography"/>
      <w:r>
        <w:t xml:space="preserve">Bibliography</w:t>
      </w:r>
      <w:bookmarkEnd w:id="39"/>
    </w:p>
    <w:bookmarkStart w:id="106" w:name="refs"/>
    <w:bookmarkStart w:id="40"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0"/>
    <w:bookmarkStart w:id="41"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1"/>
    <w:bookmarkStart w:id="42"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2"/>
    <w:bookmarkStart w:id="43"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3"/>
    <w:bookmarkStart w:id="44"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4"/>
    <w:bookmarkStart w:id="45"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5"/>
    <w:bookmarkStart w:id="46"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6"/>
    <w:bookmarkStart w:id="47"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47"/>
    <w:bookmarkStart w:id="48" w:name="ref-downing1992nitrogen"/>
    <w:p>
      <w:pPr>
        <w:pStyle w:val="Bibliography"/>
      </w:pPr>
      <w:r>
        <w:t xml:space="preserve">Downing, J. A., and E. McCauley. 1992. The nitrogen: Phosphorus relationship in lakes. Limnology and Oceanography 37:936–945.</w:t>
      </w:r>
    </w:p>
    <w:bookmarkEnd w:id="48"/>
    <w:bookmarkStart w:id="49" w:name="ref-filippelli2008global"/>
    <w:p>
      <w:pPr>
        <w:pStyle w:val="Bibliography"/>
      </w:pPr>
      <w:r>
        <w:t xml:space="preserve">Filippelli, G. M. 2008. The global phosphorus cycle: Past, present, and future. Elements 4:89–95.</w:t>
      </w:r>
    </w:p>
    <w:bookmarkEnd w:id="49"/>
    <w:bookmarkStart w:id="50"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0"/>
    <w:bookmarkStart w:id="51"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1"/>
    <w:bookmarkStart w:id="52" w:name="ref-finlay2013human"/>
    <w:p>
      <w:pPr>
        <w:pStyle w:val="Bibliography"/>
      </w:pPr>
      <w:r>
        <w:t xml:space="preserve">Finlay, J. C., G. E. Small, and R. W. Sterner. 2013. Human influences on nitrogen removal in lakes. Science 342:247–250.</w:t>
      </w:r>
    </w:p>
    <w:bookmarkEnd w:id="52"/>
    <w:bookmarkStart w:id="53"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3"/>
    <w:bookmarkStart w:id="54"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4"/>
    <w:bookmarkStart w:id="55" w:name="ref-hansen2010global"/>
    <w:p>
      <w:pPr>
        <w:pStyle w:val="Bibliography"/>
      </w:pPr>
      <w:r>
        <w:t xml:space="preserve">Hansen, J., R. Ruedy, M. Sato, and K. Lo. 2010. Global surface temperature change. Reviews of Geophysics 48.</w:t>
      </w:r>
    </w:p>
    <w:bookmarkEnd w:id="55"/>
    <w:bookmarkStart w:id="56" w:name="ref-hansen2006global"/>
    <w:p>
      <w:pPr>
        <w:pStyle w:val="Bibliography"/>
      </w:pPr>
      <w:r>
        <w:t xml:space="preserve">Hansen, J., M. Sato, R. Ruedy, K. Lo, D. W. Lea, and M. Medina-Elizade. 2006. Global temperature change. Proceedings of the National Academy of Sciences 103:14288–14293.</w:t>
      </w:r>
    </w:p>
    <w:bookmarkEnd w:id="56"/>
    <w:bookmarkStart w:id="57" w:name="ref-helsel2002statistical"/>
    <w:p>
      <w:pPr>
        <w:pStyle w:val="Bibliography"/>
      </w:pPr>
      <w:r>
        <w:t xml:space="preserve">Helsel, D., and R. Hirsch. 2002. Statistical methods in water resources. Techniques of Water-Resources Investigations Book 4:395.</w:t>
      </w:r>
    </w:p>
    <w:bookmarkEnd w:id="57"/>
    <w:bookmarkStart w:id="58"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8"/>
    <w:bookmarkStart w:id="59" w:name="ref-zenodo_citation"/>
    <w:p>
      <w:pPr>
        <w:pStyle w:val="Bibliography"/>
      </w:pPr>
      <w:r>
        <w:t xml:space="preserve">Hollister, J. W., D. Q. Kellogg, B. J. Kreakie, S. S. Shivers, B. W. Milstead, E. Herron, L. Green, and A. Gold. 2020. GitHub repository for "increasing chlorophyll *a* amid stable nutrient concentrations in rhode island lakes and reservoirs". Zenodo, https://doi.org/10.5281/zenodo.4050275.</w:t>
      </w:r>
    </w:p>
    <w:bookmarkEnd w:id="59"/>
    <w:bookmarkStart w:id="60" w:name="ref-Hollister_2016"/>
    <w:p>
      <w:pPr>
        <w:pStyle w:val="Bibliography"/>
      </w:pPr>
      <w:r>
        <w:t xml:space="preserve">Hollister, J. W., and B. J. Kreakie. 2016. Associations between chlorophyll a and various microcystin health advisory concentrations. F1000Research 5:151.</w:t>
      </w:r>
    </w:p>
    <w:bookmarkEnd w:id="60"/>
    <w:bookmarkStart w:id="61" w:name="ref-hollister2016modeling"/>
    <w:p>
      <w:pPr>
        <w:pStyle w:val="Bibliography"/>
      </w:pPr>
      <w:r>
        <w:t xml:space="preserve">Hollister, J. W., W. B. Milstead, and B. J. Kreakie. 2016. Modeling lake trophic state: A random forest approach. Ecosphere 7:e01321.</w:t>
      </w:r>
    </w:p>
    <w:bookmarkEnd w:id="61"/>
    <w:bookmarkStart w:id="62" w:name="ref-hurlbert1984pseudoreplication"/>
    <w:p>
      <w:pPr>
        <w:pStyle w:val="Bibliography"/>
      </w:pPr>
      <w:r>
        <w:t xml:space="preserve">Hurlbert, S. H. 1984. Pseudoreplication and the design of ecological field experiments. Ecological monographs 54:187–211.</w:t>
      </w:r>
    </w:p>
    <w:bookmarkEnd w:id="62"/>
    <w:bookmarkStart w:id="63" w:name="ref-jones1999surface"/>
    <w:p>
      <w:pPr>
        <w:pStyle w:val="Bibliography"/>
      </w:pPr>
      <w:r>
        <w:t xml:space="preserve">Jones, P. D., M. New, D. E. Parker, S. Martin, and I. G. Rigor. 1999. Surface air temperature and its changes over the past 150 years. Reviews of Geophysics 37:173–199.</w:t>
      </w:r>
    </w:p>
    <w:bookmarkEnd w:id="63"/>
    <w:bookmarkStart w:id="64"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4"/>
    <w:bookmarkStart w:id="65"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5"/>
    <w:bookmarkStart w:id="66" w:name="ref-kosmala2016assessing"/>
    <w:p>
      <w:pPr>
        <w:pStyle w:val="Bibliography"/>
      </w:pPr>
      <w:r>
        <w:t xml:space="preserve">Kosmala, M., A. Wiggins, A. Swanson, and B. Simmons. 2016. Assessing data quality in citizen science. Frontiers in Ecology and the Environment 14:551–560.</w:t>
      </w:r>
    </w:p>
    <w:bookmarkEnd w:id="66"/>
    <w:bookmarkStart w:id="67"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7"/>
    <w:bookmarkStart w:id="68"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8"/>
    <w:bookmarkStart w:id="69" w:name="ref-litke1999review"/>
    <w:p>
      <w:pPr>
        <w:pStyle w:val="Bibliography"/>
      </w:pPr>
      <w:r>
        <w:t xml:space="preserve">Litke, D. W. 1999. Review of phosphorus control measures in the united states and their effects on water quality. Water-Resources Investigations Report 99:4007.</w:t>
      </w:r>
    </w:p>
    <w:bookmarkEnd w:id="69"/>
    <w:bookmarkStart w:id="7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70"/>
    <w:bookmarkStart w:id="7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1"/>
    <w:bookmarkStart w:id="72"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2"/>
    <w:bookmarkStart w:id="73"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3"/>
    <w:bookmarkStart w:id="74" w:name="ref-noaatrends"/>
    <w:p>
      <w:pPr>
        <w:pStyle w:val="Bibliography"/>
      </w:pPr>
      <w:r>
        <w:t xml:space="preserve">NOAA National Center for Environmental Information. 2020. Climate at a glance: Statewide time series, retrieved on September 14, 2020. https://www.ncdc.noaa.gov/cag/.</w:t>
      </w:r>
    </w:p>
    <w:bookmarkEnd w:id="74"/>
    <w:bookmarkStart w:id="75" w:name="ref-nojavan2019rethinking"/>
    <w:p>
      <w:pPr>
        <w:pStyle w:val="Bibliography"/>
      </w:pPr>
      <w:r>
        <w:t xml:space="preserve">Nojavan, F., B. J. Kreakie, J. W. Hollister, and S. S. Qian. 2019. Rethinking the lake trophic state index. PeerJ 7:e7936.</w:t>
      </w:r>
    </w:p>
    <w:bookmarkEnd w:id="75"/>
    <w:bookmarkStart w:id="76"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76"/>
    <w:bookmarkStart w:id="77"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7"/>
    <w:bookmarkStart w:id="78"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78"/>
    <w:bookmarkStart w:id="79" w:name="ref-paerl2008blooms"/>
    <w:p>
      <w:pPr>
        <w:pStyle w:val="Bibliography"/>
      </w:pPr>
      <w:r>
        <w:t xml:space="preserve">Paerl, H. W., and J. Huisman. 2008. Blooms like it hot. Science 320:57–58.</w:t>
      </w:r>
    </w:p>
    <w:bookmarkEnd w:id="79"/>
    <w:bookmarkStart w:id="80" w:name="ref-paerl2009climate"/>
    <w:p>
      <w:pPr>
        <w:pStyle w:val="Bibliography"/>
      </w:pPr>
      <w:r>
        <w:t xml:space="preserve">Paerl, H. W., and J. Huisman. 2009. Climate change: A catalyst for global expansion of harmful cyanobacterial blooms. Environmental Microbiology Reports 1:27–37.</w:t>
      </w:r>
    </w:p>
    <w:bookmarkEnd w:id="80"/>
    <w:bookmarkStart w:id="81" w:name="ref-paerl_climate_2012"/>
    <w:p>
      <w:pPr>
        <w:pStyle w:val="Bibliography"/>
      </w:pPr>
      <w:r>
        <w:t xml:space="preserve">Paerl, H. W., and V. J. Paul. 2012. Climate change: Links to global expansion of harmful cyanobacteria. Water Research 46:1349–1363.</w:t>
      </w:r>
    </w:p>
    <w:bookmarkEnd w:id="81"/>
    <w:bookmarkStart w:id="82"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82"/>
    <w:bookmarkStart w:id="83"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83"/>
    <w:bookmarkStart w:id="84"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4"/>
    <w:bookmarkStart w:id="85"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5"/>
    <w:bookmarkStart w:id="86" w:name="ref-riphosban1995"/>
    <w:p>
      <w:pPr>
        <w:pStyle w:val="Bibliography"/>
      </w:pPr>
      <w:r>
        <w:t xml:space="preserve">Rhode Island State Legislature. 1995. Phosphate reduction act of 1995, http://webserver.rilin.state.ri.us/statutes/title46/46-29/index.htm.</w:t>
      </w:r>
    </w:p>
    <w:bookmarkEnd w:id="86"/>
    <w:bookmarkStart w:id="87" w:name="ref-schindler2009lakes"/>
    <w:p>
      <w:pPr>
        <w:pStyle w:val="Bibliography"/>
      </w:pPr>
      <w:r>
        <w:t xml:space="preserve">Schindler, D. 2009. Lakes as sentinels and integrators for the effects of climate change on watersheds, airsheds, and landscapes. Limnology and Oceanography 54:2349–2358.</w:t>
      </w:r>
    </w:p>
    <w:bookmarkEnd w:id="87"/>
    <w:bookmarkStart w:id="88"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8"/>
    <w:bookmarkStart w:id="89" w:name="ref-smith2003eutrophication"/>
    <w:p>
      <w:pPr>
        <w:pStyle w:val="Bibliography"/>
      </w:pPr>
      <w:r>
        <w:t xml:space="preserve">Smith, V. H. 2003. Eutrophication of freshwater and coastal marine ecosystems a global problem. Environmental Science and Pollution Research 10:126–139.</w:t>
      </w:r>
    </w:p>
    <w:bookmarkEnd w:id="89"/>
    <w:bookmarkStart w:id="90"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90"/>
    <w:bookmarkStart w:id="91"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91"/>
    <w:bookmarkStart w:id="92" w:name="ref-sorannolimno2019"/>
    <w:p>
      <w:pPr>
        <w:pStyle w:val="Bibliography"/>
      </w:pPr>
      <w:r>
        <w:t xml:space="preserve">Soranno, P. A., N. R. Lottig, A. D. Delany, and K. S. Cheruvelil. 2019. LAGOS-NE-LIMNO v1.087.3: A module for LAGOS-NE, a multi-scaled geospatial and temporal database of lake ecological context and water quality for thousands of U.S. lakes: 1925-2013 ver 3. Environmental Data Initiative.</w:t>
      </w:r>
    </w:p>
    <w:bookmarkEnd w:id="92"/>
    <w:bookmarkStart w:id="94" w:name="ref-stacheleklagosne2017"/>
    <w:p>
      <w:pPr>
        <w:pStyle w:val="Bibliography"/>
      </w:pPr>
      <w:r>
        <w:t xml:space="preserve">Stachelek, J., and S. Oliver. 2017. LAGOSNE: Interface to the lake multi-scaled geospatial and temporal database, R package version 1.1.0.</w:t>
      </w:r>
      <w:r>
        <w:t xml:space="preserve"> </w:t>
      </w:r>
      <w:hyperlink r:id="rId93">
        <w:r>
          <w:rPr>
            <w:rStyle w:val="Hyperlink"/>
          </w:rPr>
          <w:t xml:space="preserve">https://cran.r-project.org/package=LAGOSNE</w:t>
        </w:r>
      </w:hyperlink>
      <w:r>
        <w:t xml:space="preserve">.</w:t>
      </w:r>
    </w:p>
    <w:bookmarkEnd w:id="94"/>
    <w:bookmarkStart w:id="95" w:name="ref-ri_wq_regs"/>
    <w:p>
      <w:pPr>
        <w:pStyle w:val="Bibliography"/>
      </w:pPr>
      <w:r>
        <w:t xml:space="preserve">State of Rhode Island Department of Environmental Management Office of Water Resources. 2010. Water quality regulations, http://www.dem.ri.gov/pubs/regs/regs/water/h2oq10.pdf.</w:t>
      </w:r>
    </w:p>
    <w:bookmarkEnd w:id="95"/>
    <w:bookmarkStart w:id="96"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6"/>
    <w:bookmarkStart w:id="97"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7"/>
    <w:bookmarkStart w:id="99" w:name="ref-paris"/>
    <w:p>
      <w:pPr>
        <w:pStyle w:val="Bibliography"/>
      </w:pPr>
      <w:r>
        <w:t xml:space="preserve">United Nations. 2015. Paris Agreement, Treaty No. XXVII-7-d. Retrieved on September 24, 2020,</w:t>
      </w:r>
      <w:r>
        <w:t xml:space="preserve"> </w:t>
      </w:r>
      <w:hyperlink r:id="rId98">
        <w:r>
          <w:rPr>
            <w:rStyle w:val="Hyperlink"/>
          </w:rPr>
          <w:t xml:space="preserve">https://treaties.un.org/doc/Treaties/2016/02/20160215%2006-03%20PM/Ch_XXVII-7-d.pdf</w:t>
        </w:r>
      </w:hyperlink>
      <w:r>
        <w:t xml:space="preserve">.</w:t>
      </w:r>
    </w:p>
    <w:bookmarkEnd w:id="99"/>
    <w:bookmarkStart w:id="100"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00"/>
    <w:bookmarkStart w:id="101" w:name="ref-wasserstein2016asa"/>
    <w:p>
      <w:pPr>
        <w:pStyle w:val="Bibliography"/>
      </w:pPr>
      <w:r>
        <w:t xml:space="preserve">Wasserstein, R. L., N. A. Lazar, and others. 2016. The ASA’s statement on p-values: Context, process, and purpose. The American Statistician 70:129–133.</w:t>
      </w:r>
    </w:p>
    <w:bookmarkEnd w:id="101"/>
    <w:bookmarkStart w:id="10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02"/>
    <w:bookmarkStart w:id="103" w:name="ref-winder2004climate"/>
    <w:p>
      <w:pPr>
        <w:pStyle w:val="Bibliography"/>
      </w:pPr>
      <w:r>
        <w:t xml:space="preserve">Winder, M., and D. E. Schindler. 2004. Climate change uncouples trophic interactions in an aquatic ecosystem. Ecology 85:2100–2106.</w:t>
      </w:r>
    </w:p>
    <w:bookmarkEnd w:id="103"/>
    <w:bookmarkStart w:id="104" w:name="ref-yang2018nutrients"/>
    <w:p>
      <w:pPr>
        <w:pStyle w:val="Bibliography"/>
      </w:pPr>
      <w:r>
        <w:t xml:space="preserve">Yang, Y.-Y., and M. G. Lusk. 2018. Nutrients in urban stormwater runoff: Current state of the science and potential mitigation options. Current Pollution Reports 4:112–127.</w:t>
      </w:r>
    </w:p>
    <w:bookmarkEnd w:id="104"/>
    <w:bookmarkStart w:id="105"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05"/>
    <w:bookmarkEnd w:id="106"/>
    <w:p>
      <w:pPr>
        <w:pStyle w:val="Heading6"/>
      </w:pPr>
      <w:bookmarkStart w:id="107" w:name="section"/>
      <w:bookmarkEnd w:id="107"/>
    </w:p>
    <w:p>
      <w:pPr>
        <w:pStyle w:val="Heading1"/>
      </w:pPr>
      <w:bookmarkStart w:id="108" w:name="tables"/>
      <w:r>
        <w:t xml:space="preserve">Tables</w:t>
      </w:r>
      <w:bookmarkEnd w:id="108"/>
    </w:p>
    <w:tbl>
      <w:tblPr>
        <w:tblStyle w:val="Table"/>
        <w:tblW w:type="pct" w:w="5000.0"/>
        <w:tblLook w:firstRow="1"/>
      </w:tblPr>
      <w:tblGrid>
        <w:gridCol w:w="488"/>
        <w:gridCol w:w="1173"/>
        <w:gridCol w:w="1955"/>
        <w:gridCol w:w="1173"/>
        <w:gridCol w:w="1466"/>
        <w:gridCol w:w="1662"/>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Chlorophyll</w:t>
            </w:r>
          </w:p>
        </w:tc>
        <w:tc>
          <w:tcPr>
            <w:tcBorders>
              <w:bottom w:val="single"/>
            </w:tcBorders>
            <w:vAlign w:val="bottom"/>
          </w:tcPr>
          <w:p>
            <w:pPr>
              <w:pStyle w:val="Compact"/>
              <w:jc w:val="right"/>
            </w:pPr>
            <w:r>
              <w:t xml:space="preserve">Nitrogen:Phosphorus</w:t>
            </w:r>
          </w:p>
        </w:tc>
        <w:tc>
          <w:tcPr>
            <w:tcBorders>
              <w:bottom w:val="single"/>
            </w:tcBorders>
            <w:vAlign w:val="bottom"/>
          </w:tcPr>
          <w:p>
            <w:pPr>
              <w:pStyle w:val="Compact"/>
              <w:jc w:val="right"/>
            </w:pPr>
            <w:r>
              <w:t xml:space="preserve">Temperature</w:t>
            </w:r>
          </w:p>
        </w:tc>
        <w:tc>
          <w:tcPr>
            <w:tcBorders>
              <w:bottom w:val="single"/>
            </w:tcBorders>
            <w:vAlign w:val="bottom"/>
          </w:tcPr>
          <w:p>
            <w:pPr>
              <w:pStyle w:val="Compact"/>
              <w:jc w:val="right"/>
            </w:pPr>
            <w:r>
              <w:t xml:space="preserve">Total Nitrogen</w:t>
            </w:r>
          </w:p>
        </w:tc>
        <w:tc>
          <w:tcPr>
            <w:tcBorders>
              <w:bottom w:val="single"/>
            </w:tcBorders>
            <w:vAlign w:val="bottom"/>
          </w:tcPr>
          <w:p>
            <w:pPr>
              <w:pStyle w:val="Compact"/>
              <w:jc w:val="right"/>
            </w:pPr>
            <w:r>
              <w:t xml:space="preserve">Total Phosphorus</w:t>
            </w:r>
          </w:p>
        </w:tc>
      </w:tr>
      <w:tr>
        <w:tc>
          <w:p>
            <w:pPr>
              <w:pStyle w:val="Compact"/>
              <w:jc w:val="right"/>
            </w:pPr>
            <w:r>
              <w:t xml:space="preserve">1993</w:t>
            </w:r>
          </w:p>
        </w:tc>
        <w:tc>
          <w:p>
            <w:pPr>
              <w:pStyle w:val="Compact"/>
              <w:jc w:val="right"/>
            </w:pPr>
            <w:r>
              <w:t xml:space="preserve">25</w:t>
            </w:r>
          </w:p>
        </w:tc>
        <w:tc>
          <w:p>
            <w:pPr>
              <w:pStyle w:val="Compact"/>
              <w:jc w:val="right"/>
            </w:pPr>
            <w:r>
              <w:t xml:space="preserve">NA</w:t>
            </w:r>
          </w:p>
        </w:tc>
        <w:tc>
          <w:p>
            <w:pPr>
              <w:pStyle w:val="Compact"/>
              <w:jc w:val="right"/>
            </w:pPr>
            <w:r>
              <w:t xml:space="preserve">27</w:t>
            </w:r>
          </w:p>
        </w:tc>
        <w:tc>
          <w:p>
            <w:pPr>
              <w:pStyle w:val="Compact"/>
              <w:jc w:val="right"/>
            </w:pPr>
            <w:r>
              <w:t xml:space="preserve">NA</w:t>
            </w:r>
          </w:p>
        </w:tc>
        <w:tc>
          <w:p>
            <w:pPr>
              <w:pStyle w:val="Compact"/>
              <w:jc w:val="right"/>
            </w:pPr>
            <w:r>
              <w:t xml:space="preserve">NA</w:t>
            </w:r>
          </w:p>
        </w:tc>
      </w:tr>
      <w:tr>
        <w:tc>
          <w:p>
            <w:pPr>
              <w:pStyle w:val="Compact"/>
              <w:jc w:val="right"/>
            </w:pPr>
            <w:r>
              <w:t xml:space="preserve">1994</w:t>
            </w:r>
          </w:p>
        </w:tc>
        <w:tc>
          <w:p>
            <w:pPr>
              <w:pStyle w:val="Compact"/>
              <w:jc w:val="right"/>
            </w:pPr>
            <w:r>
              <w:t xml:space="preserve">38</w:t>
            </w:r>
          </w:p>
        </w:tc>
        <w:tc>
          <w:p>
            <w:pPr>
              <w:pStyle w:val="Compact"/>
              <w:jc w:val="right"/>
            </w:pPr>
            <w:r>
              <w:t xml:space="preserve">29</w:t>
            </w:r>
          </w:p>
        </w:tc>
        <w:tc>
          <w:p>
            <w:pPr>
              <w:pStyle w:val="Compact"/>
              <w:jc w:val="right"/>
            </w:pPr>
            <w:r>
              <w:t xml:space="preserve">38</w:t>
            </w:r>
          </w:p>
        </w:tc>
        <w:tc>
          <w:p>
            <w:pPr>
              <w:pStyle w:val="Compact"/>
              <w:jc w:val="right"/>
            </w:pPr>
            <w:r>
              <w:t xml:space="preserve">29</w:t>
            </w:r>
          </w:p>
        </w:tc>
        <w:tc>
          <w:p>
            <w:pPr>
              <w:pStyle w:val="Compact"/>
              <w:jc w:val="right"/>
            </w:pPr>
            <w:r>
              <w:t xml:space="preserve">36</w:t>
            </w:r>
          </w:p>
        </w:tc>
      </w:tr>
      <w:tr>
        <w:tc>
          <w:p>
            <w:pPr>
              <w:pStyle w:val="Compact"/>
              <w:jc w:val="right"/>
            </w:pPr>
            <w:r>
              <w:t xml:space="preserve">1995</w:t>
            </w:r>
          </w:p>
        </w:tc>
        <w:tc>
          <w:p>
            <w:pPr>
              <w:pStyle w:val="Compact"/>
              <w:jc w:val="right"/>
            </w:pPr>
            <w:r>
              <w:t xml:space="preserve">42</w:t>
            </w:r>
          </w:p>
        </w:tc>
        <w:tc>
          <w:p>
            <w:pPr>
              <w:pStyle w:val="Compact"/>
              <w:jc w:val="right"/>
            </w:pPr>
            <w:r>
              <w:t xml:space="preserve">NA</w:t>
            </w:r>
          </w:p>
        </w:tc>
        <w:tc>
          <w:p>
            <w:pPr>
              <w:pStyle w:val="Compact"/>
              <w:jc w:val="right"/>
            </w:pPr>
            <w:r>
              <w:t xml:space="preserve">42</w:t>
            </w:r>
          </w:p>
        </w:tc>
        <w:tc>
          <w:p>
            <w:pPr>
              <w:pStyle w:val="Compact"/>
              <w:jc w:val="right"/>
            </w:pPr>
            <w:r>
              <w:t xml:space="preserve">NA</w:t>
            </w:r>
          </w:p>
        </w:tc>
        <w:tc>
          <w:p>
            <w:pPr>
              <w:pStyle w:val="Compact"/>
              <w:jc w:val="right"/>
            </w:pPr>
            <w:r>
              <w:t xml:space="preserve">33</w:t>
            </w:r>
          </w:p>
        </w:tc>
      </w:tr>
      <w:tr>
        <w:tc>
          <w:p>
            <w:pPr>
              <w:pStyle w:val="Compact"/>
              <w:jc w:val="right"/>
            </w:pPr>
            <w:r>
              <w:t xml:space="preserve">1996</w:t>
            </w:r>
          </w:p>
        </w:tc>
        <w:tc>
          <w:p>
            <w:pPr>
              <w:pStyle w:val="Compact"/>
              <w:jc w:val="right"/>
            </w:pPr>
            <w:r>
              <w:t xml:space="preserve">47</w:t>
            </w:r>
          </w:p>
        </w:tc>
        <w:tc>
          <w:p>
            <w:pPr>
              <w:pStyle w:val="Compact"/>
              <w:jc w:val="right"/>
            </w:pPr>
            <w:r>
              <w:t xml:space="preserve">NA</w:t>
            </w:r>
          </w:p>
        </w:tc>
        <w:tc>
          <w:p>
            <w:pPr>
              <w:pStyle w:val="Compact"/>
              <w:jc w:val="right"/>
            </w:pPr>
            <w:r>
              <w:t xml:space="preserve">45</w:t>
            </w:r>
          </w:p>
        </w:tc>
        <w:tc>
          <w:p>
            <w:pPr>
              <w:pStyle w:val="Compact"/>
              <w:jc w:val="right"/>
            </w:pPr>
            <w:r>
              <w:t xml:space="preserve">NA</w:t>
            </w:r>
          </w:p>
        </w:tc>
        <w:tc>
          <w:p>
            <w:pPr>
              <w:pStyle w:val="Compact"/>
              <w:jc w:val="right"/>
            </w:pPr>
            <w:r>
              <w:t xml:space="preserve">NA</w:t>
            </w:r>
          </w:p>
        </w:tc>
      </w:tr>
      <w:tr>
        <w:tc>
          <w:p>
            <w:pPr>
              <w:pStyle w:val="Compact"/>
              <w:jc w:val="right"/>
            </w:pPr>
            <w:r>
              <w:t xml:space="preserve">1997</w:t>
            </w:r>
          </w:p>
        </w:tc>
        <w:tc>
          <w:p>
            <w:pPr>
              <w:pStyle w:val="Compact"/>
              <w:jc w:val="right"/>
            </w:pPr>
            <w:r>
              <w:t xml:space="preserve">41</w:t>
            </w:r>
          </w:p>
        </w:tc>
        <w:tc>
          <w:p>
            <w:pPr>
              <w:pStyle w:val="Compact"/>
              <w:jc w:val="right"/>
            </w:pPr>
            <w:r>
              <w:t xml:space="preserve">NA</w:t>
            </w:r>
          </w:p>
        </w:tc>
        <w:tc>
          <w:p>
            <w:pPr>
              <w:pStyle w:val="Compact"/>
              <w:jc w:val="right"/>
            </w:pPr>
            <w:r>
              <w:t xml:space="preserve">43</w:t>
            </w:r>
          </w:p>
        </w:tc>
        <w:tc>
          <w:p>
            <w:pPr>
              <w:pStyle w:val="Compact"/>
              <w:jc w:val="right"/>
            </w:pPr>
            <w:r>
              <w:t xml:space="preserve">NA</w:t>
            </w:r>
          </w:p>
        </w:tc>
        <w:tc>
          <w:p>
            <w:pPr>
              <w:pStyle w:val="Compact"/>
              <w:jc w:val="right"/>
            </w:pPr>
            <w:r>
              <w:t xml:space="preserve">NA</w:t>
            </w:r>
          </w:p>
        </w:tc>
      </w:tr>
      <w:tr>
        <w:tc>
          <w:p>
            <w:pPr>
              <w:pStyle w:val="Compact"/>
              <w:jc w:val="right"/>
            </w:pPr>
            <w:r>
              <w:t xml:space="preserve">1998</w:t>
            </w:r>
          </w:p>
        </w:tc>
        <w:tc>
          <w:p>
            <w:pPr>
              <w:pStyle w:val="Compact"/>
              <w:jc w:val="right"/>
            </w:pPr>
            <w:r>
              <w:t xml:space="preserve">39</w:t>
            </w:r>
          </w:p>
        </w:tc>
        <w:tc>
          <w:p>
            <w:pPr>
              <w:pStyle w:val="Compact"/>
              <w:jc w:val="right"/>
            </w:pPr>
            <w:r>
              <w:t xml:space="preserve">3</w:t>
            </w:r>
          </w:p>
        </w:tc>
        <w:tc>
          <w:p>
            <w:pPr>
              <w:pStyle w:val="Compact"/>
              <w:jc w:val="right"/>
            </w:pPr>
            <w:r>
              <w:t xml:space="preserve">38</w:t>
            </w:r>
          </w:p>
        </w:tc>
        <w:tc>
          <w:p>
            <w:pPr>
              <w:pStyle w:val="Compact"/>
              <w:jc w:val="right"/>
            </w:pPr>
            <w:r>
              <w:t xml:space="preserve">3</w:t>
            </w:r>
          </w:p>
        </w:tc>
        <w:tc>
          <w:p>
            <w:pPr>
              <w:pStyle w:val="Compact"/>
              <w:jc w:val="right"/>
            </w:pPr>
            <w:r>
              <w:t xml:space="preserve">3</w:t>
            </w:r>
          </w:p>
        </w:tc>
      </w:tr>
      <w:tr>
        <w:tc>
          <w:p>
            <w:pPr>
              <w:pStyle w:val="Compact"/>
              <w:jc w:val="right"/>
            </w:pPr>
            <w:r>
              <w:t xml:space="preserve">1999</w:t>
            </w:r>
          </w:p>
        </w:tc>
        <w:tc>
          <w:p>
            <w:pPr>
              <w:pStyle w:val="Compact"/>
              <w:jc w:val="right"/>
            </w:pPr>
            <w:r>
              <w:t xml:space="preserve">42</w:t>
            </w:r>
          </w:p>
        </w:tc>
        <w:tc>
          <w:p>
            <w:pPr>
              <w:pStyle w:val="Compact"/>
              <w:jc w:val="right"/>
            </w:pPr>
            <w:r>
              <w:t xml:space="preserve">38</w:t>
            </w:r>
          </w:p>
        </w:tc>
        <w:tc>
          <w:p>
            <w:pPr>
              <w:pStyle w:val="Compact"/>
              <w:jc w:val="right"/>
            </w:pPr>
            <w:r>
              <w:t xml:space="preserve">43</w:t>
            </w:r>
          </w:p>
        </w:tc>
        <w:tc>
          <w:p>
            <w:pPr>
              <w:pStyle w:val="Compact"/>
              <w:jc w:val="right"/>
            </w:pPr>
            <w:r>
              <w:t xml:space="preserve">39</w:t>
            </w:r>
          </w:p>
        </w:tc>
        <w:tc>
          <w:p>
            <w:pPr>
              <w:pStyle w:val="Compact"/>
              <w:jc w:val="right"/>
            </w:pPr>
            <w:r>
              <w:t xml:space="preserve">43</w:t>
            </w:r>
          </w:p>
        </w:tc>
      </w:tr>
      <w:tr>
        <w:tc>
          <w:p>
            <w:pPr>
              <w:pStyle w:val="Compact"/>
              <w:jc w:val="right"/>
            </w:pPr>
            <w:r>
              <w:t xml:space="preserve">2000</w:t>
            </w:r>
          </w:p>
        </w:tc>
        <w:tc>
          <w:p>
            <w:pPr>
              <w:pStyle w:val="Compact"/>
              <w:jc w:val="right"/>
            </w:pPr>
            <w:r>
              <w:t xml:space="preserve">51</w:t>
            </w:r>
          </w:p>
        </w:tc>
        <w:tc>
          <w:p>
            <w:pPr>
              <w:pStyle w:val="Compact"/>
              <w:jc w:val="right"/>
            </w:pPr>
            <w:r>
              <w:t xml:space="preserve">43</w:t>
            </w:r>
          </w:p>
        </w:tc>
        <w:tc>
          <w:p>
            <w:pPr>
              <w:pStyle w:val="Compact"/>
              <w:jc w:val="right"/>
            </w:pPr>
            <w:r>
              <w:t xml:space="preserve">51</w:t>
            </w:r>
          </w:p>
        </w:tc>
        <w:tc>
          <w:p>
            <w:pPr>
              <w:pStyle w:val="Compact"/>
              <w:jc w:val="right"/>
            </w:pPr>
            <w:r>
              <w:t xml:space="preserve">44</w:t>
            </w:r>
          </w:p>
        </w:tc>
        <w:tc>
          <w:p>
            <w:pPr>
              <w:pStyle w:val="Compact"/>
              <w:jc w:val="right"/>
            </w:pPr>
            <w:r>
              <w:t xml:space="preserve">44</w:t>
            </w:r>
          </w:p>
        </w:tc>
      </w:tr>
      <w:tr>
        <w:tc>
          <w:p>
            <w:pPr>
              <w:pStyle w:val="Compact"/>
              <w:jc w:val="right"/>
            </w:pPr>
            <w:r>
              <w:t xml:space="preserve">2001</w:t>
            </w:r>
          </w:p>
        </w:tc>
        <w:tc>
          <w:p>
            <w:pPr>
              <w:pStyle w:val="Compact"/>
              <w:jc w:val="right"/>
            </w:pPr>
            <w:r>
              <w:t xml:space="preserve">45</w:t>
            </w:r>
          </w:p>
        </w:tc>
        <w:tc>
          <w:p>
            <w:pPr>
              <w:pStyle w:val="Compact"/>
              <w:jc w:val="right"/>
            </w:pPr>
            <w:r>
              <w:t xml:space="preserve">45</w:t>
            </w:r>
          </w:p>
        </w:tc>
        <w:tc>
          <w:p>
            <w:pPr>
              <w:pStyle w:val="Compact"/>
              <w:jc w:val="right"/>
            </w:pPr>
            <w:r>
              <w:t xml:space="preserve">47</w:t>
            </w:r>
          </w:p>
        </w:tc>
        <w:tc>
          <w:p>
            <w:pPr>
              <w:pStyle w:val="Compact"/>
              <w:jc w:val="right"/>
            </w:pPr>
            <w:r>
              <w:t xml:space="preserve">47</w:t>
            </w:r>
          </w:p>
        </w:tc>
        <w:tc>
          <w:p>
            <w:pPr>
              <w:pStyle w:val="Compact"/>
              <w:jc w:val="right"/>
            </w:pPr>
            <w:r>
              <w:t xml:space="preserve">49</w:t>
            </w:r>
          </w:p>
        </w:tc>
      </w:tr>
      <w:tr>
        <w:tc>
          <w:p>
            <w:pPr>
              <w:pStyle w:val="Compact"/>
              <w:jc w:val="right"/>
            </w:pPr>
            <w:r>
              <w:t xml:space="preserve">2002</w:t>
            </w:r>
          </w:p>
        </w:tc>
        <w:tc>
          <w:p>
            <w:pPr>
              <w:pStyle w:val="Compact"/>
              <w:jc w:val="right"/>
            </w:pPr>
            <w:r>
              <w:t xml:space="preserve">48</w:t>
            </w:r>
          </w:p>
        </w:tc>
        <w:tc>
          <w:p>
            <w:pPr>
              <w:pStyle w:val="Compact"/>
              <w:jc w:val="right"/>
            </w:pPr>
            <w:r>
              <w:t xml:space="preserve">45</w:t>
            </w:r>
          </w:p>
        </w:tc>
        <w:tc>
          <w:p>
            <w:pPr>
              <w:pStyle w:val="Compact"/>
              <w:jc w:val="right"/>
            </w:pPr>
            <w:r>
              <w:t xml:space="preserve">48</w:t>
            </w:r>
          </w:p>
        </w:tc>
        <w:tc>
          <w:p>
            <w:pPr>
              <w:pStyle w:val="Compact"/>
              <w:jc w:val="right"/>
            </w:pPr>
            <w:r>
              <w:t xml:space="preserve">45</w:t>
            </w:r>
          </w:p>
        </w:tc>
        <w:tc>
          <w:p>
            <w:pPr>
              <w:pStyle w:val="Compact"/>
              <w:jc w:val="right"/>
            </w:pPr>
            <w:r>
              <w:t xml:space="preserve">45</w:t>
            </w:r>
          </w:p>
        </w:tc>
      </w:tr>
      <w:tr>
        <w:tc>
          <w:p>
            <w:pPr>
              <w:pStyle w:val="Compact"/>
              <w:jc w:val="right"/>
            </w:pPr>
            <w:r>
              <w:t xml:space="preserve">2003</w:t>
            </w:r>
          </w:p>
        </w:tc>
        <w:tc>
          <w:p>
            <w:pPr>
              <w:pStyle w:val="Compact"/>
              <w:jc w:val="right"/>
            </w:pPr>
            <w:r>
              <w:t xml:space="preserve">46</w:t>
            </w:r>
          </w:p>
        </w:tc>
        <w:tc>
          <w:p>
            <w:pPr>
              <w:pStyle w:val="Compact"/>
              <w:jc w:val="right"/>
            </w:pPr>
            <w:r>
              <w:t xml:space="preserve">45</w:t>
            </w:r>
          </w:p>
        </w:tc>
        <w:tc>
          <w:p>
            <w:pPr>
              <w:pStyle w:val="Compact"/>
              <w:jc w:val="right"/>
            </w:pPr>
            <w:r>
              <w:t xml:space="preserve">51</w:t>
            </w:r>
          </w:p>
        </w:tc>
        <w:tc>
          <w:p>
            <w:pPr>
              <w:pStyle w:val="Compact"/>
              <w:jc w:val="right"/>
            </w:pPr>
            <w:r>
              <w:t xml:space="preserve">46</w:t>
            </w:r>
          </w:p>
        </w:tc>
        <w:tc>
          <w:p>
            <w:pPr>
              <w:pStyle w:val="Compact"/>
              <w:jc w:val="right"/>
            </w:pPr>
            <w:r>
              <w:t xml:space="preserve">45</w:t>
            </w:r>
          </w:p>
        </w:tc>
      </w:tr>
      <w:tr>
        <w:tc>
          <w:p>
            <w:pPr>
              <w:pStyle w:val="Compact"/>
              <w:jc w:val="right"/>
            </w:pPr>
            <w:r>
              <w:t xml:space="preserve">2004</w:t>
            </w:r>
          </w:p>
        </w:tc>
        <w:tc>
          <w:p>
            <w:pPr>
              <w:pStyle w:val="Compact"/>
              <w:jc w:val="right"/>
            </w:pPr>
            <w:r>
              <w:t xml:space="preserve">52</w:t>
            </w:r>
          </w:p>
        </w:tc>
        <w:tc>
          <w:p>
            <w:pPr>
              <w:pStyle w:val="Compact"/>
              <w:jc w:val="right"/>
            </w:pPr>
            <w:r>
              <w:t xml:space="preserve">50</w:t>
            </w:r>
          </w:p>
        </w:tc>
        <w:tc>
          <w:p>
            <w:pPr>
              <w:pStyle w:val="Compact"/>
              <w:jc w:val="right"/>
            </w:pPr>
            <w:r>
              <w:t xml:space="preserve">53</w:t>
            </w:r>
          </w:p>
        </w:tc>
        <w:tc>
          <w:p>
            <w:pPr>
              <w:pStyle w:val="Compact"/>
              <w:jc w:val="right"/>
            </w:pPr>
            <w:r>
              <w:t xml:space="preserve">51</w:t>
            </w:r>
          </w:p>
        </w:tc>
        <w:tc>
          <w:p>
            <w:pPr>
              <w:pStyle w:val="Compact"/>
              <w:jc w:val="right"/>
            </w:pPr>
            <w:r>
              <w:t xml:space="preserve">50</w:t>
            </w:r>
          </w:p>
        </w:tc>
      </w:tr>
      <w:tr>
        <w:tc>
          <w:p>
            <w:pPr>
              <w:pStyle w:val="Compact"/>
              <w:jc w:val="right"/>
            </w:pPr>
            <w:r>
              <w:t xml:space="preserve">2005</w:t>
            </w:r>
          </w:p>
        </w:tc>
        <w:tc>
          <w:p>
            <w:pPr>
              <w:pStyle w:val="Compact"/>
              <w:jc w:val="right"/>
            </w:pPr>
            <w:r>
              <w:t xml:space="preserve">49</w:t>
            </w:r>
          </w:p>
        </w:tc>
        <w:tc>
          <w:p>
            <w:pPr>
              <w:pStyle w:val="Compact"/>
              <w:jc w:val="right"/>
            </w:pPr>
            <w:r>
              <w:t xml:space="preserve">44</w:t>
            </w:r>
          </w:p>
        </w:tc>
        <w:tc>
          <w:p>
            <w:pPr>
              <w:pStyle w:val="Compact"/>
              <w:jc w:val="right"/>
            </w:pPr>
            <w:r>
              <w:t xml:space="preserve">50</w:t>
            </w:r>
          </w:p>
        </w:tc>
        <w:tc>
          <w:p>
            <w:pPr>
              <w:pStyle w:val="Compact"/>
              <w:jc w:val="right"/>
            </w:pPr>
            <w:r>
              <w:t xml:space="preserve">45</w:t>
            </w:r>
          </w:p>
        </w:tc>
        <w:tc>
          <w:p>
            <w:pPr>
              <w:pStyle w:val="Compact"/>
              <w:jc w:val="right"/>
            </w:pPr>
            <w:r>
              <w:t xml:space="preserve">46</w:t>
            </w:r>
          </w:p>
        </w:tc>
      </w:tr>
      <w:tr>
        <w:tc>
          <w:p>
            <w:pPr>
              <w:pStyle w:val="Compact"/>
              <w:jc w:val="right"/>
            </w:pPr>
            <w:r>
              <w:t xml:space="preserve">2006</w:t>
            </w:r>
          </w:p>
        </w:tc>
        <w:tc>
          <w:p>
            <w:pPr>
              <w:pStyle w:val="Compact"/>
              <w:jc w:val="right"/>
            </w:pPr>
            <w:r>
              <w:t xml:space="preserve">51</w:t>
            </w:r>
          </w:p>
        </w:tc>
        <w:tc>
          <w:p>
            <w:pPr>
              <w:pStyle w:val="Compact"/>
              <w:jc w:val="right"/>
            </w:pPr>
            <w:r>
              <w:t xml:space="preserve">48</w:t>
            </w:r>
          </w:p>
        </w:tc>
        <w:tc>
          <w:p>
            <w:pPr>
              <w:pStyle w:val="Compact"/>
              <w:jc w:val="right"/>
            </w:pPr>
            <w:r>
              <w:t xml:space="preserve">51</w:t>
            </w:r>
          </w:p>
        </w:tc>
        <w:tc>
          <w:p>
            <w:pPr>
              <w:pStyle w:val="Compact"/>
              <w:jc w:val="right"/>
            </w:pPr>
            <w:r>
              <w:t xml:space="preserve">49</w:t>
            </w:r>
          </w:p>
        </w:tc>
        <w:tc>
          <w:p>
            <w:pPr>
              <w:pStyle w:val="Compact"/>
              <w:jc w:val="right"/>
            </w:pPr>
            <w:r>
              <w:t xml:space="preserve">49</w:t>
            </w:r>
          </w:p>
        </w:tc>
      </w:tr>
      <w:tr>
        <w:tc>
          <w:p>
            <w:pPr>
              <w:pStyle w:val="Compact"/>
              <w:jc w:val="right"/>
            </w:pPr>
            <w:r>
              <w:t xml:space="preserve">2007</w:t>
            </w:r>
          </w:p>
        </w:tc>
        <w:tc>
          <w:p>
            <w:pPr>
              <w:pStyle w:val="Compact"/>
              <w:jc w:val="right"/>
            </w:pPr>
            <w:r>
              <w:t xml:space="preserve">47</w:t>
            </w:r>
          </w:p>
        </w:tc>
        <w:tc>
          <w:p>
            <w:pPr>
              <w:pStyle w:val="Compact"/>
              <w:jc w:val="right"/>
            </w:pPr>
            <w:r>
              <w:t xml:space="preserve">47</w:t>
            </w:r>
          </w:p>
        </w:tc>
        <w:tc>
          <w:p>
            <w:pPr>
              <w:pStyle w:val="Compact"/>
              <w:jc w:val="right"/>
            </w:pPr>
            <w:r>
              <w:t xml:space="preserve">49</w:t>
            </w:r>
          </w:p>
        </w:tc>
        <w:tc>
          <w:p>
            <w:pPr>
              <w:pStyle w:val="Compact"/>
              <w:jc w:val="right"/>
            </w:pPr>
            <w:r>
              <w:t xml:space="preserve">48</w:t>
            </w:r>
          </w:p>
        </w:tc>
        <w:tc>
          <w:p>
            <w:pPr>
              <w:pStyle w:val="Compact"/>
              <w:jc w:val="right"/>
            </w:pPr>
            <w:r>
              <w:t xml:space="preserve">48</w:t>
            </w:r>
          </w:p>
        </w:tc>
      </w:tr>
      <w:tr>
        <w:tc>
          <w:p>
            <w:pPr>
              <w:pStyle w:val="Compact"/>
              <w:jc w:val="right"/>
            </w:pPr>
            <w:r>
              <w:t xml:space="preserve">2008</w:t>
            </w:r>
          </w:p>
        </w:tc>
        <w:tc>
          <w:p>
            <w:pPr>
              <w:pStyle w:val="Compact"/>
              <w:jc w:val="right"/>
            </w:pPr>
            <w:r>
              <w:t xml:space="preserve">53</w:t>
            </w:r>
          </w:p>
        </w:tc>
        <w:tc>
          <w:p>
            <w:pPr>
              <w:pStyle w:val="Compact"/>
              <w:jc w:val="right"/>
            </w:pPr>
            <w:r>
              <w:t xml:space="preserve">51</w:t>
            </w:r>
          </w:p>
        </w:tc>
        <w:tc>
          <w:p>
            <w:pPr>
              <w:pStyle w:val="Compact"/>
              <w:jc w:val="right"/>
            </w:pPr>
            <w:r>
              <w:t xml:space="preserve">53</w:t>
            </w:r>
          </w:p>
        </w:tc>
        <w:tc>
          <w:p>
            <w:pPr>
              <w:pStyle w:val="Compact"/>
              <w:jc w:val="right"/>
            </w:pPr>
            <w:r>
              <w:t xml:space="preserve">52</w:t>
            </w:r>
          </w:p>
        </w:tc>
        <w:tc>
          <w:p>
            <w:pPr>
              <w:pStyle w:val="Compact"/>
              <w:jc w:val="right"/>
            </w:pPr>
            <w:r>
              <w:t xml:space="preserve">52</w:t>
            </w:r>
          </w:p>
        </w:tc>
      </w:tr>
      <w:tr>
        <w:tc>
          <w:p>
            <w:pPr>
              <w:pStyle w:val="Compact"/>
              <w:jc w:val="right"/>
            </w:pPr>
            <w:r>
              <w:t xml:space="preserve">2009</w:t>
            </w:r>
          </w:p>
        </w:tc>
        <w:tc>
          <w:p>
            <w:pPr>
              <w:pStyle w:val="Compact"/>
              <w:jc w:val="right"/>
            </w:pPr>
            <w:r>
              <w:t xml:space="preserve">48</w:t>
            </w:r>
          </w:p>
        </w:tc>
        <w:tc>
          <w:p>
            <w:pPr>
              <w:pStyle w:val="Compact"/>
              <w:jc w:val="right"/>
            </w:pPr>
            <w:r>
              <w:t xml:space="preserve">39</w:t>
            </w:r>
          </w:p>
        </w:tc>
        <w:tc>
          <w:p>
            <w:pPr>
              <w:pStyle w:val="Compact"/>
              <w:jc w:val="right"/>
            </w:pPr>
            <w:r>
              <w:t xml:space="preserve">50</w:t>
            </w:r>
          </w:p>
        </w:tc>
        <w:tc>
          <w:p>
            <w:pPr>
              <w:pStyle w:val="Compact"/>
              <w:jc w:val="right"/>
            </w:pPr>
            <w:r>
              <w:t xml:space="preserve">39</w:t>
            </w:r>
          </w:p>
        </w:tc>
        <w:tc>
          <w:p>
            <w:pPr>
              <w:pStyle w:val="Compact"/>
              <w:jc w:val="right"/>
            </w:pPr>
            <w:r>
              <w:t xml:space="preserve">40</w:t>
            </w:r>
          </w:p>
        </w:tc>
      </w:tr>
      <w:tr>
        <w:tc>
          <w:p>
            <w:pPr>
              <w:pStyle w:val="Compact"/>
              <w:jc w:val="right"/>
            </w:pPr>
            <w:r>
              <w:t xml:space="preserve">2010</w:t>
            </w:r>
          </w:p>
        </w:tc>
        <w:tc>
          <w:p>
            <w:pPr>
              <w:pStyle w:val="Compact"/>
              <w:jc w:val="right"/>
            </w:pPr>
            <w:r>
              <w:t xml:space="preserve">46</w:t>
            </w:r>
          </w:p>
        </w:tc>
        <w:tc>
          <w:p>
            <w:pPr>
              <w:pStyle w:val="Compact"/>
              <w:jc w:val="right"/>
            </w:pPr>
            <w:r>
              <w:t xml:space="preserve">46</w:t>
            </w:r>
          </w:p>
        </w:tc>
        <w:tc>
          <w:p>
            <w:pPr>
              <w:pStyle w:val="Compact"/>
              <w:jc w:val="right"/>
            </w:pPr>
            <w:r>
              <w:t xml:space="preserve">46</w:t>
            </w:r>
          </w:p>
        </w:tc>
        <w:tc>
          <w:p>
            <w:pPr>
              <w:pStyle w:val="Compact"/>
              <w:jc w:val="right"/>
            </w:pPr>
            <w:r>
              <w:t xml:space="preserve">47</w:t>
            </w:r>
          </w:p>
        </w:tc>
        <w:tc>
          <w:p>
            <w:pPr>
              <w:pStyle w:val="Compact"/>
              <w:jc w:val="right"/>
            </w:pPr>
            <w:r>
              <w:t xml:space="preserve">47</w:t>
            </w:r>
          </w:p>
        </w:tc>
      </w:tr>
      <w:tr>
        <w:tc>
          <w:p>
            <w:pPr>
              <w:pStyle w:val="Compact"/>
              <w:jc w:val="right"/>
            </w:pPr>
            <w:r>
              <w:t xml:space="preserve">2011</w:t>
            </w:r>
          </w:p>
        </w:tc>
        <w:tc>
          <w:p>
            <w:pPr>
              <w:pStyle w:val="Compact"/>
              <w:jc w:val="right"/>
            </w:pPr>
            <w:r>
              <w:t xml:space="preserve">51</w:t>
            </w:r>
          </w:p>
        </w:tc>
        <w:tc>
          <w:p>
            <w:pPr>
              <w:pStyle w:val="Compact"/>
              <w:jc w:val="right"/>
            </w:pPr>
            <w:r>
              <w:t xml:space="preserve">48</w:t>
            </w:r>
          </w:p>
        </w:tc>
        <w:tc>
          <w:p>
            <w:pPr>
              <w:pStyle w:val="Compact"/>
              <w:jc w:val="right"/>
            </w:pPr>
            <w:r>
              <w:t xml:space="preserve">49</w:t>
            </w:r>
          </w:p>
        </w:tc>
        <w:tc>
          <w:p>
            <w:pPr>
              <w:pStyle w:val="Compact"/>
              <w:jc w:val="right"/>
            </w:pPr>
            <w:r>
              <w:t xml:space="preserve">49</w:t>
            </w:r>
          </w:p>
        </w:tc>
        <w:tc>
          <w:p>
            <w:pPr>
              <w:pStyle w:val="Compact"/>
              <w:jc w:val="right"/>
            </w:pPr>
            <w:r>
              <w:t xml:space="preserve">49</w:t>
            </w:r>
          </w:p>
        </w:tc>
      </w:tr>
      <w:tr>
        <w:tc>
          <w:p>
            <w:pPr>
              <w:pStyle w:val="Compact"/>
              <w:jc w:val="right"/>
            </w:pPr>
            <w:r>
              <w:t xml:space="preserve">2012</w:t>
            </w:r>
          </w:p>
        </w:tc>
        <w:tc>
          <w:p>
            <w:pPr>
              <w:pStyle w:val="Compact"/>
              <w:jc w:val="right"/>
            </w:pPr>
            <w:r>
              <w:t xml:space="preserve">45</w:t>
            </w:r>
          </w:p>
        </w:tc>
        <w:tc>
          <w:p>
            <w:pPr>
              <w:pStyle w:val="Compact"/>
              <w:jc w:val="right"/>
            </w:pPr>
            <w:r>
              <w:t xml:space="preserve">46</w:t>
            </w:r>
          </w:p>
        </w:tc>
        <w:tc>
          <w:p>
            <w:pPr>
              <w:pStyle w:val="Compact"/>
              <w:jc w:val="right"/>
            </w:pPr>
            <w:r>
              <w:t xml:space="preserve">44</w:t>
            </w:r>
          </w:p>
        </w:tc>
        <w:tc>
          <w:p>
            <w:pPr>
              <w:pStyle w:val="Compact"/>
              <w:jc w:val="right"/>
            </w:pPr>
            <w:r>
              <w:t xml:space="preserve">47</w:t>
            </w:r>
          </w:p>
        </w:tc>
        <w:tc>
          <w:p>
            <w:pPr>
              <w:pStyle w:val="Compact"/>
              <w:jc w:val="right"/>
            </w:pPr>
            <w:r>
              <w:t xml:space="preserve">48</w:t>
            </w:r>
          </w:p>
        </w:tc>
      </w:tr>
      <w:tr>
        <w:tc>
          <w:p>
            <w:pPr>
              <w:pStyle w:val="Compact"/>
              <w:jc w:val="right"/>
            </w:pPr>
            <w:r>
              <w:t xml:space="preserve">2013</w:t>
            </w:r>
          </w:p>
        </w:tc>
        <w:tc>
          <w:p>
            <w:pPr>
              <w:pStyle w:val="Compact"/>
              <w:jc w:val="right"/>
            </w:pPr>
            <w:r>
              <w:t xml:space="preserve">42</w:t>
            </w:r>
          </w:p>
        </w:tc>
        <w:tc>
          <w:p>
            <w:pPr>
              <w:pStyle w:val="Compact"/>
              <w:jc w:val="right"/>
            </w:pPr>
            <w:r>
              <w:t xml:space="preserve">40</w:t>
            </w:r>
          </w:p>
        </w:tc>
        <w:tc>
          <w:p>
            <w:pPr>
              <w:pStyle w:val="Compact"/>
              <w:jc w:val="right"/>
            </w:pPr>
            <w:r>
              <w:t xml:space="preserve">42</w:t>
            </w:r>
          </w:p>
        </w:tc>
        <w:tc>
          <w:p>
            <w:pPr>
              <w:pStyle w:val="Compact"/>
              <w:jc w:val="right"/>
            </w:pPr>
            <w:r>
              <w:t xml:space="preserve">40</w:t>
            </w:r>
          </w:p>
        </w:tc>
        <w:tc>
          <w:p>
            <w:pPr>
              <w:pStyle w:val="Compact"/>
              <w:jc w:val="right"/>
            </w:pPr>
            <w:r>
              <w:t xml:space="preserve">42</w:t>
            </w:r>
          </w:p>
        </w:tc>
      </w:tr>
      <w:tr>
        <w:tc>
          <w:p>
            <w:pPr>
              <w:pStyle w:val="Compact"/>
              <w:jc w:val="right"/>
            </w:pPr>
            <w:r>
              <w:t xml:space="preserve">2014</w:t>
            </w:r>
          </w:p>
        </w:tc>
        <w:tc>
          <w:p>
            <w:pPr>
              <w:pStyle w:val="Compact"/>
              <w:jc w:val="right"/>
            </w:pPr>
            <w:r>
              <w:t xml:space="preserve">44</w:t>
            </w:r>
          </w:p>
        </w:tc>
        <w:tc>
          <w:p>
            <w:pPr>
              <w:pStyle w:val="Compact"/>
              <w:jc w:val="right"/>
            </w:pPr>
            <w:r>
              <w:t xml:space="preserve">39</w:t>
            </w:r>
          </w:p>
        </w:tc>
        <w:tc>
          <w:p>
            <w:pPr>
              <w:pStyle w:val="Compact"/>
              <w:jc w:val="right"/>
            </w:pPr>
            <w:r>
              <w:t xml:space="preserve">44</w:t>
            </w:r>
          </w:p>
        </w:tc>
        <w:tc>
          <w:p>
            <w:pPr>
              <w:pStyle w:val="Compact"/>
              <w:jc w:val="right"/>
            </w:pPr>
            <w:r>
              <w:t xml:space="preserve">39</w:t>
            </w:r>
          </w:p>
        </w:tc>
        <w:tc>
          <w:p>
            <w:pPr>
              <w:pStyle w:val="Compact"/>
              <w:jc w:val="right"/>
            </w:pPr>
            <w:r>
              <w:t xml:space="preserve">41</w:t>
            </w:r>
          </w:p>
        </w:tc>
      </w:tr>
      <w:tr>
        <w:tc>
          <w:p>
            <w:pPr>
              <w:pStyle w:val="Compact"/>
              <w:jc w:val="right"/>
            </w:pPr>
            <w:r>
              <w:t xml:space="preserve">2015</w:t>
            </w:r>
          </w:p>
        </w:tc>
        <w:tc>
          <w:p>
            <w:pPr>
              <w:pStyle w:val="Compact"/>
              <w:jc w:val="right"/>
            </w:pPr>
            <w:r>
              <w:t xml:space="preserve">46</w:t>
            </w:r>
          </w:p>
        </w:tc>
        <w:tc>
          <w:p>
            <w:pPr>
              <w:pStyle w:val="Compact"/>
              <w:jc w:val="right"/>
            </w:pPr>
            <w:r>
              <w:t xml:space="preserve">41</w:t>
            </w:r>
          </w:p>
        </w:tc>
        <w:tc>
          <w:p>
            <w:pPr>
              <w:pStyle w:val="Compact"/>
              <w:jc w:val="right"/>
            </w:pPr>
            <w:r>
              <w:t xml:space="preserve">46</w:t>
            </w:r>
          </w:p>
        </w:tc>
        <w:tc>
          <w:p>
            <w:pPr>
              <w:pStyle w:val="Compact"/>
              <w:jc w:val="right"/>
            </w:pPr>
            <w:r>
              <w:t xml:space="preserve">41</w:t>
            </w:r>
          </w:p>
        </w:tc>
        <w:tc>
          <w:p>
            <w:pPr>
              <w:pStyle w:val="Compact"/>
              <w:jc w:val="right"/>
            </w:pPr>
            <w:r>
              <w:t xml:space="preserve">43</w:t>
            </w:r>
          </w:p>
        </w:tc>
      </w:tr>
      <w:tr>
        <w:tc>
          <w:p>
            <w:pPr>
              <w:pStyle w:val="Compact"/>
              <w:jc w:val="right"/>
            </w:pPr>
            <w:r>
              <w:t xml:space="preserve">2016</w:t>
            </w:r>
          </w:p>
        </w:tc>
        <w:tc>
          <w:p>
            <w:pPr>
              <w:pStyle w:val="Compact"/>
              <w:jc w:val="right"/>
            </w:pPr>
            <w:r>
              <w:t xml:space="preserve">45</w:t>
            </w:r>
          </w:p>
        </w:tc>
        <w:tc>
          <w:p>
            <w:pPr>
              <w:pStyle w:val="Compact"/>
              <w:jc w:val="right"/>
            </w:pPr>
            <w:r>
              <w:t xml:space="preserve">42</w:t>
            </w:r>
          </w:p>
        </w:tc>
        <w:tc>
          <w:p>
            <w:pPr>
              <w:pStyle w:val="Compact"/>
              <w:jc w:val="right"/>
            </w:pPr>
            <w:r>
              <w:t xml:space="preserve">47</w:t>
            </w:r>
          </w:p>
        </w:tc>
        <w:tc>
          <w:p>
            <w:pPr>
              <w:pStyle w:val="Compact"/>
              <w:jc w:val="right"/>
            </w:pPr>
            <w:r>
              <w:t xml:space="preserve">42</w:t>
            </w:r>
          </w:p>
        </w:tc>
        <w:tc>
          <w:p>
            <w:pPr>
              <w:pStyle w:val="Compact"/>
              <w:jc w:val="right"/>
            </w:pPr>
            <w:r>
              <w:t xml:space="preserve">44</w:t>
            </w:r>
          </w:p>
        </w:tc>
      </w:tr>
    </w:tbl>
    <w:p>
      <w:pPr>
        <w:pStyle w:val="BodyText"/>
      </w:pPr>
      <w:r>
        <w:t xml:space="preserve">Table 1: Number of URIWW sites available for trend analysis by parameter and year.</w:t>
      </w:r>
    </w:p>
    <w:p>
      <w:pPr>
        <w:pStyle w:val="Heading6"/>
      </w:pPr>
      <w:bookmarkStart w:id="109" w:name="section-1"/>
      <w:bookmarkEnd w:id="109"/>
    </w:p>
    <w:tbl>
      <w:tblPr>
        <w:tblStyle w:val="Table"/>
        <w:tblW w:type="pct" w:w="0.0"/>
        <w:tblLook w:firstRow="1"/>
      </w:tblPr>
      <w:tblGrid/>
      <w:tr>
        <w:trPr>
          <w:cnfStyle w:firstRow="1"/>
        </w:trPr>
        <w:tc>
          <w:tcPr>
            <w:tcBorders>
              <w:bottom w:val="single"/>
            </w:tcBorders>
            <w:vAlign w:val="bottom"/>
          </w:tcPr>
          <w:p>
            <w:pPr>
              <w:pStyle w:val="Compact"/>
              <w:jc w:val="right"/>
            </w:pPr>
            <w:r>
              <w:t xml:space="preserve">Year</w:t>
            </w:r>
          </w:p>
        </w:tc>
        <w:tc>
          <w:tcPr>
            <w:tcBorders>
              <w:bottom w:val="single"/>
            </w:tcBorders>
            <w:vAlign w:val="bottom"/>
          </w:tcPr>
          <w:p>
            <w:pPr>
              <w:pStyle w:val="Compact"/>
              <w:jc w:val="right"/>
            </w:pPr>
            <w:r>
              <w:t xml:space="preserve">Chlorophyll</w:t>
            </w:r>
          </w:p>
        </w:tc>
        <w:tc>
          <w:tcPr>
            <w:tcBorders>
              <w:bottom w:val="single"/>
            </w:tcBorders>
            <w:vAlign w:val="bottom"/>
          </w:tcPr>
          <w:p>
            <w:pPr>
              <w:pStyle w:val="Compact"/>
              <w:jc w:val="right"/>
            </w:pPr>
            <w:r>
              <w:t xml:space="preserve">Nitrogen:Phosphorus</w:t>
            </w:r>
          </w:p>
        </w:tc>
        <w:tc>
          <w:tcPr>
            <w:tcBorders>
              <w:bottom w:val="single"/>
            </w:tcBorders>
            <w:vAlign w:val="bottom"/>
          </w:tcPr>
          <w:p>
            <w:pPr>
              <w:pStyle w:val="Compact"/>
              <w:jc w:val="right"/>
            </w:pPr>
            <w:r>
              <w:t xml:space="preserve">Total Nitrogen</w:t>
            </w:r>
          </w:p>
        </w:tc>
        <w:tc>
          <w:tcPr>
            <w:tcBorders>
              <w:bottom w:val="single"/>
            </w:tcBorders>
            <w:vAlign w:val="bottom"/>
          </w:tcPr>
          <w:p>
            <w:pPr>
              <w:pStyle w:val="Compact"/>
              <w:jc w:val="right"/>
            </w:pPr>
            <w:r>
              <w:t xml:space="preserve">Total Phosphorus</w:t>
            </w:r>
          </w:p>
        </w:tc>
      </w:tr>
      <w:tr>
        <w:tc>
          <w:p>
            <w:pPr>
              <w:pStyle w:val="Compact"/>
              <w:jc w:val="right"/>
            </w:pPr>
            <w:r>
              <w:t xml:space="preserve">1993</w:t>
            </w:r>
          </w:p>
        </w:tc>
        <w:tc>
          <w:p>
            <w:pPr>
              <w:pStyle w:val="Compact"/>
              <w:jc w:val="right"/>
            </w:pPr>
            <w:r>
              <w:t xml:space="preserve">110</w:t>
            </w:r>
          </w:p>
        </w:tc>
        <w:tc>
          <w:p>
            <w:pPr>
              <w:pStyle w:val="Compact"/>
              <w:jc w:val="right"/>
            </w:pPr>
            <w:r>
              <w:t xml:space="preserve">19</w:t>
            </w:r>
          </w:p>
        </w:tc>
        <w:tc>
          <w:p>
            <w:pPr>
              <w:pStyle w:val="Compact"/>
              <w:jc w:val="right"/>
            </w:pPr>
            <w:r>
              <w:t xml:space="preserve">21</w:t>
            </w:r>
          </w:p>
        </w:tc>
        <w:tc>
          <w:p>
            <w:pPr>
              <w:pStyle w:val="Compact"/>
              <w:jc w:val="right"/>
            </w:pPr>
            <w:r>
              <w:t xml:space="preserve">128</w:t>
            </w:r>
          </w:p>
        </w:tc>
      </w:tr>
      <w:tr>
        <w:tc>
          <w:p>
            <w:pPr>
              <w:pStyle w:val="Compact"/>
              <w:jc w:val="right"/>
            </w:pPr>
            <w:r>
              <w:t xml:space="preserve">1994</w:t>
            </w:r>
          </w:p>
        </w:tc>
        <w:tc>
          <w:p>
            <w:pPr>
              <w:pStyle w:val="Compact"/>
              <w:jc w:val="right"/>
            </w:pPr>
            <w:r>
              <w:t xml:space="preserve">137</w:t>
            </w:r>
          </w:p>
        </w:tc>
        <w:tc>
          <w:p>
            <w:pPr>
              <w:pStyle w:val="Compact"/>
              <w:jc w:val="right"/>
            </w:pPr>
            <w:r>
              <w:t xml:space="preserve">35</w:t>
            </w:r>
          </w:p>
        </w:tc>
        <w:tc>
          <w:p>
            <w:pPr>
              <w:pStyle w:val="Compact"/>
              <w:jc w:val="right"/>
            </w:pPr>
            <w:r>
              <w:t xml:space="preserve">40</w:t>
            </w:r>
          </w:p>
        </w:tc>
        <w:tc>
          <w:p>
            <w:pPr>
              <w:pStyle w:val="Compact"/>
              <w:jc w:val="right"/>
            </w:pPr>
            <w:r>
              <w:t xml:space="preserve">162</w:t>
            </w:r>
          </w:p>
        </w:tc>
      </w:tr>
      <w:tr>
        <w:tc>
          <w:p>
            <w:pPr>
              <w:pStyle w:val="Compact"/>
              <w:jc w:val="right"/>
            </w:pPr>
            <w:r>
              <w:t xml:space="preserve">1995</w:t>
            </w:r>
          </w:p>
        </w:tc>
        <w:tc>
          <w:p>
            <w:pPr>
              <w:pStyle w:val="Compact"/>
              <w:jc w:val="right"/>
            </w:pPr>
            <w:r>
              <w:t xml:space="preserve">132</w:t>
            </w:r>
          </w:p>
        </w:tc>
        <w:tc>
          <w:p>
            <w:pPr>
              <w:pStyle w:val="Compact"/>
              <w:jc w:val="right"/>
            </w:pPr>
            <w:r>
              <w:t xml:space="preserve">21</w:t>
            </w:r>
          </w:p>
        </w:tc>
        <w:tc>
          <w:p>
            <w:pPr>
              <w:pStyle w:val="Compact"/>
              <w:jc w:val="right"/>
            </w:pPr>
            <w:r>
              <w:t xml:space="preserve">21</w:t>
            </w:r>
          </w:p>
        </w:tc>
        <w:tc>
          <w:p>
            <w:pPr>
              <w:pStyle w:val="Compact"/>
              <w:jc w:val="right"/>
            </w:pPr>
            <w:r>
              <w:t xml:space="preserve">156</w:t>
            </w:r>
          </w:p>
        </w:tc>
      </w:tr>
      <w:tr>
        <w:tc>
          <w:p>
            <w:pPr>
              <w:pStyle w:val="Compact"/>
              <w:jc w:val="right"/>
            </w:pPr>
            <w:r>
              <w:t xml:space="preserve">1996</w:t>
            </w:r>
          </w:p>
        </w:tc>
        <w:tc>
          <w:p>
            <w:pPr>
              <w:pStyle w:val="Compact"/>
              <w:jc w:val="right"/>
            </w:pPr>
            <w:r>
              <w:t xml:space="preserve">146</w:t>
            </w:r>
          </w:p>
        </w:tc>
        <w:tc>
          <w:p>
            <w:pPr>
              <w:pStyle w:val="Compact"/>
              <w:jc w:val="right"/>
            </w:pPr>
            <w:r>
              <w:t xml:space="preserve">27</w:t>
            </w:r>
          </w:p>
        </w:tc>
        <w:tc>
          <w:p>
            <w:pPr>
              <w:pStyle w:val="Compact"/>
              <w:jc w:val="right"/>
            </w:pPr>
            <w:r>
              <w:t xml:space="preserve">28</w:t>
            </w:r>
          </w:p>
        </w:tc>
        <w:tc>
          <w:p>
            <w:pPr>
              <w:pStyle w:val="Compact"/>
              <w:jc w:val="right"/>
            </w:pPr>
            <w:r>
              <w:t xml:space="preserve">177</w:t>
            </w:r>
          </w:p>
        </w:tc>
      </w:tr>
      <w:tr>
        <w:tc>
          <w:p>
            <w:pPr>
              <w:pStyle w:val="Compact"/>
              <w:jc w:val="right"/>
            </w:pPr>
            <w:r>
              <w:t xml:space="preserve">1997</w:t>
            </w:r>
          </w:p>
        </w:tc>
        <w:tc>
          <w:p>
            <w:pPr>
              <w:pStyle w:val="Compact"/>
              <w:jc w:val="right"/>
            </w:pPr>
            <w:r>
              <w:t xml:space="preserve">149</w:t>
            </w:r>
          </w:p>
        </w:tc>
        <w:tc>
          <w:p>
            <w:pPr>
              <w:pStyle w:val="Compact"/>
              <w:jc w:val="right"/>
            </w:pPr>
            <w:r>
              <w:t xml:space="preserve">47</w:t>
            </w:r>
          </w:p>
        </w:tc>
        <w:tc>
          <w:p>
            <w:pPr>
              <w:pStyle w:val="Compact"/>
              <w:jc w:val="right"/>
            </w:pPr>
            <w:r>
              <w:t xml:space="preserve">50</w:t>
            </w:r>
          </w:p>
        </w:tc>
        <w:tc>
          <w:p>
            <w:pPr>
              <w:pStyle w:val="Compact"/>
              <w:jc w:val="right"/>
            </w:pPr>
            <w:r>
              <w:t xml:space="preserve">200</w:t>
            </w:r>
          </w:p>
        </w:tc>
      </w:tr>
      <w:tr>
        <w:tc>
          <w:p>
            <w:pPr>
              <w:pStyle w:val="Compact"/>
              <w:jc w:val="right"/>
            </w:pPr>
            <w:r>
              <w:t xml:space="preserve">1998</w:t>
            </w:r>
          </w:p>
        </w:tc>
        <w:tc>
          <w:p>
            <w:pPr>
              <w:pStyle w:val="Compact"/>
              <w:jc w:val="right"/>
            </w:pPr>
            <w:r>
              <w:t xml:space="preserve">164</w:t>
            </w:r>
          </w:p>
        </w:tc>
        <w:tc>
          <w:p>
            <w:pPr>
              <w:pStyle w:val="Compact"/>
              <w:jc w:val="right"/>
            </w:pPr>
            <w:r>
              <w:t xml:space="preserve">26</w:t>
            </w:r>
          </w:p>
        </w:tc>
        <w:tc>
          <w:p>
            <w:pPr>
              <w:pStyle w:val="Compact"/>
              <w:jc w:val="right"/>
            </w:pPr>
            <w:r>
              <w:t xml:space="preserve">30</w:t>
            </w:r>
          </w:p>
        </w:tc>
        <w:tc>
          <w:p>
            <w:pPr>
              <w:pStyle w:val="Compact"/>
              <w:jc w:val="right"/>
            </w:pPr>
            <w:r>
              <w:t xml:space="preserve">155</w:t>
            </w:r>
          </w:p>
        </w:tc>
      </w:tr>
      <w:tr>
        <w:tc>
          <w:p>
            <w:pPr>
              <w:pStyle w:val="Compact"/>
              <w:jc w:val="right"/>
            </w:pPr>
            <w:r>
              <w:t xml:space="preserve">1999</w:t>
            </w:r>
          </w:p>
        </w:tc>
        <w:tc>
          <w:p>
            <w:pPr>
              <w:pStyle w:val="Compact"/>
              <w:jc w:val="right"/>
            </w:pPr>
            <w:r>
              <w:t xml:space="preserve">378</w:t>
            </w:r>
          </w:p>
        </w:tc>
        <w:tc>
          <w:p>
            <w:pPr>
              <w:pStyle w:val="Compact"/>
              <w:jc w:val="right"/>
            </w:pPr>
            <w:r>
              <w:t xml:space="preserve">47</w:t>
            </w:r>
          </w:p>
        </w:tc>
        <w:tc>
          <w:p>
            <w:pPr>
              <w:pStyle w:val="Compact"/>
              <w:jc w:val="right"/>
            </w:pPr>
            <w:r>
              <w:t xml:space="preserve">69</w:t>
            </w:r>
          </w:p>
        </w:tc>
        <w:tc>
          <w:p>
            <w:pPr>
              <w:pStyle w:val="Compact"/>
              <w:jc w:val="right"/>
            </w:pPr>
            <w:r>
              <w:t xml:space="preserve">216</w:t>
            </w:r>
          </w:p>
        </w:tc>
      </w:tr>
      <w:tr>
        <w:tc>
          <w:p>
            <w:pPr>
              <w:pStyle w:val="Compact"/>
              <w:jc w:val="right"/>
            </w:pPr>
            <w:r>
              <w:t xml:space="preserve">2000</w:t>
            </w:r>
          </w:p>
        </w:tc>
        <w:tc>
          <w:p>
            <w:pPr>
              <w:pStyle w:val="Compact"/>
              <w:jc w:val="right"/>
            </w:pPr>
            <w:r>
              <w:t xml:space="preserve">422</w:t>
            </w:r>
          </w:p>
        </w:tc>
        <w:tc>
          <w:p>
            <w:pPr>
              <w:pStyle w:val="Compact"/>
              <w:jc w:val="right"/>
            </w:pPr>
            <w:r>
              <w:t xml:space="preserve">42</w:t>
            </w:r>
          </w:p>
        </w:tc>
        <w:tc>
          <w:p>
            <w:pPr>
              <w:pStyle w:val="Compact"/>
              <w:jc w:val="right"/>
            </w:pPr>
            <w:r>
              <w:t xml:space="preserve">59</w:t>
            </w:r>
          </w:p>
        </w:tc>
        <w:tc>
          <w:p>
            <w:pPr>
              <w:pStyle w:val="Compact"/>
              <w:jc w:val="right"/>
            </w:pPr>
            <w:r>
              <w:t xml:space="preserve">222</w:t>
            </w:r>
          </w:p>
        </w:tc>
      </w:tr>
      <w:tr>
        <w:tc>
          <w:p>
            <w:pPr>
              <w:pStyle w:val="Compact"/>
              <w:jc w:val="right"/>
            </w:pPr>
            <w:r>
              <w:t xml:space="preserve">2001</w:t>
            </w:r>
          </w:p>
        </w:tc>
        <w:tc>
          <w:p>
            <w:pPr>
              <w:pStyle w:val="Compact"/>
              <w:jc w:val="right"/>
            </w:pPr>
            <w:r>
              <w:t xml:space="preserve">401</w:t>
            </w:r>
          </w:p>
        </w:tc>
        <w:tc>
          <w:p>
            <w:pPr>
              <w:pStyle w:val="Compact"/>
              <w:jc w:val="right"/>
            </w:pPr>
            <w:r>
              <w:t xml:space="preserve">46</w:t>
            </w:r>
          </w:p>
        </w:tc>
        <w:tc>
          <w:p>
            <w:pPr>
              <w:pStyle w:val="Compact"/>
              <w:jc w:val="right"/>
            </w:pPr>
            <w:r>
              <w:t xml:space="preserve">68</w:t>
            </w:r>
          </w:p>
        </w:tc>
        <w:tc>
          <w:p>
            <w:pPr>
              <w:pStyle w:val="Compact"/>
              <w:jc w:val="right"/>
            </w:pPr>
            <w:r>
              <w:t xml:space="preserve">237</w:t>
            </w:r>
          </w:p>
        </w:tc>
      </w:tr>
      <w:tr>
        <w:tc>
          <w:p>
            <w:pPr>
              <w:pStyle w:val="Compact"/>
              <w:jc w:val="right"/>
            </w:pPr>
            <w:r>
              <w:t xml:space="preserve">2002</w:t>
            </w:r>
          </w:p>
        </w:tc>
        <w:tc>
          <w:p>
            <w:pPr>
              <w:pStyle w:val="Compact"/>
              <w:jc w:val="right"/>
            </w:pPr>
            <w:r>
              <w:t xml:space="preserve">453</w:t>
            </w:r>
          </w:p>
        </w:tc>
        <w:tc>
          <w:p>
            <w:pPr>
              <w:pStyle w:val="Compact"/>
              <w:jc w:val="right"/>
            </w:pPr>
            <w:r>
              <w:t xml:space="preserve">38</w:t>
            </w:r>
          </w:p>
        </w:tc>
        <w:tc>
          <w:p>
            <w:pPr>
              <w:pStyle w:val="Compact"/>
              <w:jc w:val="right"/>
            </w:pPr>
            <w:r>
              <w:t xml:space="preserve">69</w:t>
            </w:r>
          </w:p>
        </w:tc>
        <w:tc>
          <w:p>
            <w:pPr>
              <w:pStyle w:val="Compact"/>
              <w:jc w:val="right"/>
            </w:pPr>
            <w:r>
              <w:t xml:space="preserve">211</w:t>
            </w:r>
          </w:p>
        </w:tc>
      </w:tr>
      <w:tr>
        <w:tc>
          <w:p>
            <w:pPr>
              <w:pStyle w:val="Compact"/>
              <w:jc w:val="right"/>
            </w:pPr>
            <w:r>
              <w:t xml:space="preserve">2003</w:t>
            </w:r>
          </w:p>
        </w:tc>
        <w:tc>
          <w:p>
            <w:pPr>
              <w:pStyle w:val="Compact"/>
              <w:jc w:val="right"/>
            </w:pPr>
            <w:r>
              <w:t xml:space="preserve">459</w:t>
            </w:r>
          </w:p>
        </w:tc>
        <w:tc>
          <w:p>
            <w:pPr>
              <w:pStyle w:val="Compact"/>
              <w:jc w:val="right"/>
            </w:pPr>
            <w:r>
              <w:t xml:space="preserve">46</w:t>
            </w:r>
          </w:p>
        </w:tc>
        <w:tc>
          <w:p>
            <w:pPr>
              <w:pStyle w:val="Compact"/>
              <w:jc w:val="right"/>
            </w:pPr>
            <w:r>
              <w:t xml:space="preserve">72</w:t>
            </w:r>
          </w:p>
        </w:tc>
        <w:tc>
          <w:p>
            <w:pPr>
              <w:pStyle w:val="Compact"/>
              <w:jc w:val="right"/>
            </w:pPr>
            <w:r>
              <w:t xml:space="preserve">231</w:t>
            </w:r>
          </w:p>
        </w:tc>
      </w:tr>
      <w:tr>
        <w:tc>
          <w:p>
            <w:pPr>
              <w:pStyle w:val="Compact"/>
              <w:jc w:val="right"/>
            </w:pPr>
            <w:r>
              <w:t xml:space="preserve">2004</w:t>
            </w:r>
          </w:p>
        </w:tc>
        <w:tc>
          <w:p>
            <w:pPr>
              <w:pStyle w:val="Compact"/>
              <w:jc w:val="right"/>
            </w:pPr>
            <w:r>
              <w:t xml:space="preserve">479</w:t>
            </w:r>
          </w:p>
        </w:tc>
        <w:tc>
          <w:p>
            <w:pPr>
              <w:pStyle w:val="Compact"/>
              <w:jc w:val="right"/>
            </w:pPr>
            <w:r>
              <w:t xml:space="preserve">26</w:t>
            </w:r>
          </w:p>
        </w:tc>
        <w:tc>
          <w:p>
            <w:pPr>
              <w:pStyle w:val="Compact"/>
              <w:jc w:val="right"/>
            </w:pPr>
            <w:r>
              <w:t xml:space="preserve">48</w:t>
            </w:r>
          </w:p>
        </w:tc>
        <w:tc>
          <w:p>
            <w:pPr>
              <w:pStyle w:val="Compact"/>
              <w:jc w:val="right"/>
            </w:pPr>
            <w:r>
              <w:t xml:space="preserve">235</w:t>
            </w:r>
          </w:p>
        </w:tc>
      </w:tr>
      <w:tr>
        <w:tc>
          <w:p>
            <w:pPr>
              <w:pStyle w:val="Compact"/>
              <w:jc w:val="right"/>
            </w:pPr>
            <w:r>
              <w:t xml:space="preserve">2005</w:t>
            </w:r>
          </w:p>
        </w:tc>
        <w:tc>
          <w:p>
            <w:pPr>
              <w:pStyle w:val="Compact"/>
              <w:jc w:val="right"/>
            </w:pPr>
            <w:r>
              <w:t xml:space="preserve">496</w:t>
            </w:r>
          </w:p>
        </w:tc>
        <w:tc>
          <w:p>
            <w:pPr>
              <w:pStyle w:val="Compact"/>
              <w:jc w:val="right"/>
            </w:pPr>
            <w:r>
              <w:t xml:space="preserve">49</w:t>
            </w:r>
          </w:p>
        </w:tc>
        <w:tc>
          <w:p>
            <w:pPr>
              <w:pStyle w:val="Compact"/>
              <w:jc w:val="right"/>
            </w:pPr>
            <w:r>
              <w:t xml:space="preserve">76</w:t>
            </w:r>
          </w:p>
        </w:tc>
        <w:tc>
          <w:p>
            <w:pPr>
              <w:pStyle w:val="Compact"/>
              <w:jc w:val="right"/>
            </w:pPr>
            <w:r>
              <w:t xml:space="preserve">235</w:t>
            </w:r>
          </w:p>
        </w:tc>
      </w:tr>
      <w:tr>
        <w:tc>
          <w:p>
            <w:pPr>
              <w:pStyle w:val="Compact"/>
              <w:jc w:val="right"/>
            </w:pPr>
            <w:r>
              <w:t xml:space="preserve">2006</w:t>
            </w:r>
          </w:p>
        </w:tc>
        <w:tc>
          <w:p>
            <w:pPr>
              <w:pStyle w:val="Compact"/>
              <w:jc w:val="right"/>
            </w:pPr>
            <w:r>
              <w:t xml:space="preserve">482</w:t>
            </w:r>
          </w:p>
        </w:tc>
        <w:tc>
          <w:p>
            <w:pPr>
              <w:pStyle w:val="Compact"/>
              <w:jc w:val="right"/>
            </w:pPr>
            <w:r>
              <w:t xml:space="preserve">47</w:t>
            </w:r>
          </w:p>
        </w:tc>
        <w:tc>
          <w:p>
            <w:pPr>
              <w:pStyle w:val="Compact"/>
              <w:jc w:val="right"/>
            </w:pPr>
            <w:r>
              <w:t xml:space="preserve">76</w:t>
            </w:r>
          </w:p>
        </w:tc>
        <w:tc>
          <w:p>
            <w:pPr>
              <w:pStyle w:val="Compact"/>
              <w:jc w:val="right"/>
            </w:pPr>
            <w:r>
              <w:t xml:space="preserve">236</w:t>
            </w:r>
          </w:p>
        </w:tc>
      </w:tr>
      <w:tr>
        <w:tc>
          <w:p>
            <w:pPr>
              <w:pStyle w:val="Compact"/>
              <w:jc w:val="right"/>
            </w:pPr>
            <w:r>
              <w:t xml:space="preserve">2007</w:t>
            </w:r>
          </w:p>
        </w:tc>
        <w:tc>
          <w:p>
            <w:pPr>
              <w:pStyle w:val="Compact"/>
              <w:jc w:val="right"/>
            </w:pPr>
            <w:r>
              <w:t xml:space="preserve">450</w:t>
            </w:r>
          </w:p>
        </w:tc>
        <w:tc>
          <w:p>
            <w:pPr>
              <w:pStyle w:val="Compact"/>
              <w:jc w:val="right"/>
            </w:pPr>
            <w:r>
              <w:t xml:space="preserve">45</w:t>
            </w:r>
          </w:p>
        </w:tc>
        <w:tc>
          <w:p>
            <w:pPr>
              <w:pStyle w:val="Compact"/>
              <w:jc w:val="right"/>
            </w:pPr>
            <w:r>
              <w:t xml:space="preserve">71</w:t>
            </w:r>
          </w:p>
        </w:tc>
        <w:tc>
          <w:p>
            <w:pPr>
              <w:pStyle w:val="Compact"/>
              <w:jc w:val="right"/>
            </w:pPr>
            <w:r>
              <w:t xml:space="preserve">165</w:t>
            </w:r>
          </w:p>
        </w:tc>
      </w:tr>
      <w:tr>
        <w:tc>
          <w:p>
            <w:pPr>
              <w:pStyle w:val="Compact"/>
              <w:jc w:val="right"/>
            </w:pPr>
            <w:r>
              <w:t xml:space="preserve">2008</w:t>
            </w:r>
          </w:p>
        </w:tc>
        <w:tc>
          <w:p>
            <w:pPr>
              <w:pStyle w:val="Compact"/>
              <w:jc w:val="right"/>
            </w:pPr>
            <w:r>
              <w:t xml:space="preserve">454</w:t>
            </w:r>
          </w:p>
        </w:tc>
        <w:tc>
          <w:p>
            <w:pPr>
              <w:pStyle w:val="Compact"/>
              <w:jc w:val="right"/>
            </w:pPr>
            <w:r>
              <w:t xml:space="preserve">47</w:t>
            </w:r>
          </w:p>
        </w:tc>
        <w:tc>
          <w:p>
            <w:pPr>
              <w:pStyle w:val="Compact"/>
              <w:jc w:val="right"/>
            </w:pPr>
            <w:r>
              <w:t xml:space="preserve">68</w:t>
            </w:r>
          </w:p>
        </w:tc>
        <w:tc>
          <w:p>
            <w:pPr>
              <w:pStyle w:val="Compact"/>
              <w:jc w:val="right"/>
            </w:pPr>
            <w:r>
              <w:t xml:space="preserve">181</w:t>
            </w:r>
          </w:p>
        </w:tc>
      </w:tr>
      <w:tr>
        <w:tc>
          <w:p>
            <w:pPr>
              <w:pStyle w:val="Compact"/>
              <w:jc w:val="right"/>
            </w:pPr>
            <w:r>
              <w:t xml:space="preserve">2009</w:t>
            </w:r>
          </w:p>
        </w:tc>
        <w:tc>
          <w:p>
            <w:pPr>
              <w:pStyle w:val="Compact"/>
              <w:jc w:val="right"/>
            </w:pPr>
            <w:r>
              <w:t xml:space="preserve">454</w:t>
            </w:r>
          </w:p>
        </w:tc>
        <w:tc>
          <w:p>
            <w:pPr>
              <w:pStyle w:val="Compact"/>
              <w:jc w:val="right"/>
            </w:pPr>
            <w:r>
              <w:t xml:space="preserve">43</w:t>
            </w:r>
          </w:p>
        </w:tc>
        <w:tc>
          <w:p>
            <w:pPr>
              <w:pStyle w:val="Compact"/>
              <w:jc w:val="right"/>
            </w:pPr>
            <w:r>
              <w:t xml:space="preserve">67</w:t>
            </w:r>
          </w:p>
        </w:tc>
        <w:tc>
          <w:p>
            <w:pPr>
              <w:pStyle w:val="Compact"/>
              <w:jc w:val="right"/>
            </w:pPr>
            <w:r>
              <w:t xml:space="preserve">168</w:t>
            </w:r>
          </w:p>
        </w:tc>
      </w:tr>
      <w:tr>
        <w:tc>
          <w:p>
            <w:pPr>
              <w:pStyle w:val="Compact"/>
              <w:jc w:val="right"/>
            </w:pPr>
            <w:r>
              <w:t xml:space="preserve">2010</w:t>
            </w:r>
          </w:p>
        </w:tc>
        <w:tc>
          <w:p>
            <w:pPr>
              <w:pStyle w:val="Compact"/>
              <w:jc w:val="right"/>
            </w:pPr>
            <w:r>
              <w:t xml:space="preserve">451</w:t>
            </w:r>
          </w:p>
        </w:tc>
        <w:tc>
          <w:p>
            <w:pPr>
              <w:pStyle w:val="Compact"/>
              <w:jc w:val="right"/>
            </w:pPr>
            <w:r>
              <w:t xml:space="preserve">47</w:t>
            </w:r>
          </w:p>
        </w:tc>
        <w:tc>
          <w:p>
            <w:pPr>
              <w:pStyle w:val="Compact"/>
              <w:jc w:val="right"/>
            </w:pPr>
            <w:r>
              <w:t xml:space="preserve">75</w:t>
            </w:r>
          </w:p>
        </w:tc>
        <w:tc>
          <w:p>
            <w:pPr>
              <w:pStyle w:val="Compact"/>
              <w:jc w:val="right"/>
            </w:pPr>
            <w:r>
              <w:t xml:space="preserve">169</w:t>
            </w:r>
          </w:p>
        </w:tc>
      </w:tr>
      <w:tr>
        <w:tc>
          <w:p>
            <w:pPr>
              <w:pStyle w:val="Compact"/>
              <w:jc w:val="right"/>
            </w:pPr>
            <w:r>
              <w:t xml:space="preserve">2011</w:t>
            </w:r>
          </w:p>
        </w:tc>
        <w:tc>
          <w:p>
            <w:pPr>
              <w:pStyle w:val="Compact"/>
              <w:jc w:val="right"/>
            </w:pPr>
            <w:r>
              <w:t xml:space="preserve">366</w:t>
            </w:r>
          </w:p>
        </w:tc>
        <w:tc>
          <w:p>
            <w:pPr>
              <w:pStyle w:val="Compact"/>
              <w:jc w:val="right"/>
            </w:pPr>
            <w:r>
              <w:t xml:space="preserve">7</w:t>
            </w:r>
          </w:p>
        </w:tc>
        <w:tc>
          <w:p>
            <w:pPr>
              <w:pStyle w:val="Compact"/>
              <w:jc w:val="right"/>
            </w:pPr>
            <w:r>
              <w:t xml:space="preserve">27</w:t>
            </w:r>
          </w:p>
        </w:tc>
        <w:tc>
          <w:p>
            <w:pPr>
              <w:pStyle w:val="Compact"/>
              <w:jc w:val="right"/>
            </w:pPr>
            <w:r>
              <w:t xml:space="preserve">89</w:t>
            </w:r>
          </w:p>
        </w:tc>
      </w:tr>
      <w:tr>
        <w:tc>
          <w:p>
            <w:pPr>
              <w:pStyle w:val="Compact"/>
              <w:jc w:val="right"/>
            </w:pPr>
            <w:r>
              <w:t xml:space="preserve">2012</w:t>
            </w:r>
          </w:p>
        </w:tc>
        <w:tc>
          <w:p>
            <w:pPr>
              <w:pStyle w:val="Compact"/>
              <w:jc w:val="right"/>
            </w:pPr>
            <w:r>
              <w:t xml:space="preserve">260</w:t>
            </w:r>
          </w:p>
        </w:tc>
        <w:tc>
          <w:p>
            <w:pPr>
              <w:pStyle w:val="Compact"/>
              <w:jc w:val="right"/>
            </w:pPr>
            <w:r>
              <w:t xml:space="preserve">NA</w:t>
            </w:r>
          </w:p>
        </w:tc>
        <w:tc>
          <w:p>
            <w:pPr>
              <w:pStyle w:val="Compact"/>
              <w:jc w:val="right"/>
            </w:pPr>
            <w:r>
              <w:t xml:space="preserve">18</w:t>
            </w:r>
          </w:p>
        </w:tc>
        <w:tc>
          <w:p>
            <w:pPr>
              <w:pStyle w:val="Compact"/>
              <w:jc w:val="right"/>
            </w:pPr>
            <w:r>
              <w:t xml:space="preserve">45</w:t>
            </w:r>
          </w:p>
        </w:tc>
      </w:tr>
      <w:tr>
        <w:tc>
          <w:p>
            <w:pPr>
              <w:pStyle w:val="Compact"/>
              <w:jc w:val="right"/>
            </w:pPr>
            <w:r>
              <w:t xml:space="preserve">2013</w:t>
            </w:r>
          </w:p>
        </w:tc>
        <w:tc>
          <w:p>
            <w:pPr>
              <w:pStyle w:val="Compact"/>
              <w:jc w:val="right"/>
            </w:pPr>
            <w:r>
              <w:t xml:space="preserve">11</w:t>
            </w:r>
          </w:p>
        </w:tc>
        <w:tc>
          <w:p>
            <w:pPr>
              <w:pStyle w:val="Compact"/>
              <w:jc w:val="right"/>
            </w:pPr>
            <w:r>
              <w:t xml:space="preserve">NA</w:t>
            </w:r>
          </w:p>
        </w:tc>
        <w:tc>
          <w:p>
            <w:pPr>
              <w:pStyle w:val="Compact"/>
              <w:jc w:val="right"/>
            </w:pPr>
            <w:r>
              <w:t xml:space="preserve">NA</w:t>
            </w:r>
          </w:p>
        </w:tc>
        <w:tc>
          <w:p>
            <w:pPr>
              <w:pStyle w:val="Compact"/>
              <w:jc w:val="right"/>
            </w:pPr>
            <w:r>
              <w:t xml:space="preserve">40</w:t>
            </w:r>
          </w:p>
        </w:tc>
      </w:tr>
    </w:tbl>
    <w:p>
      <w:pPr>
        <w:pStyle w:val="BodyText"/>
      </w:pPr>
      <w:r>
        <w:t xml:space="preserve">Table 2: Number of LAGOSNE sites available for trend analysis by parameter and year.</w:t>
      </w:r>
    </w:p>
    <w:p>
      <w:pPr>
        <w:pStyle w:val="Heading6"/>
      </w:pPr>
      <w:bookmarkStart w:id="110" w:name="section-2"/>
      <w:bookmarkEnd w:id="110"/>
    </w:p>
    <w:tbl>
      <w:tblPr>
        <w:tblStyle w:val="Table"/>
        <w:tblW w:type="pct" w:w="5000.0"/>
        <w:tblLook w:firstRow="1"/>
      </w:tblPr>
      <w:tblGrid>
        <w:gridCol w:w="674"/>
        <w:gridCol w:w="1263"/>
        <w:gridCol w:w="1516"/>
        <w:gridCol w:w="1685"/>
        <w:gridCol w:w="1516"/>
        <w:gridCol w:w="1263"/>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Lake Area (ha)</w:t>
            </w:r>
          </w:p>
        </w:tc>
        <w:tc>
          <w:tcPr>
            <w:tcBorders>
              <w:bottom w:val="single"/>
            </w:tcBorders>
            <w:vAlign w:val="bottom"/>
          </w:tcPr>
          <w:p>
            <w:pPr>
              <w:pStyle w:val="Compact"/>
              <w:jc w:val="right"/>
            </w:pPr>
            <w:r>
              <w:t xml:space="preserve">Maximum Depth (m)</w:t>
            </w:r>
          </w:p>
        </w:tc>
        <w:tc>
          <w:tcPr>
            <w:tcBorders>
              <w:bottom w:val="single"/>
            </w:tcBorders>
            <w:vAlign w:val="bottom"/>
          </w:tcPr>
          <w:p>
            <w:pPr>
              <w:pStyle w:val="Compact"/>
              <w:jc w:val="right"/>
            </w:pPr>
            <w:r>
              <w:t xml:space="preserve">Percent Agriculture</w:t>
            </w:r>
          </w:p>
        </w:tc>
        <w:tc>
          <w:tcPr>
            <w:tcBorders>
              <w:bottom w:val="single"/>
            </w:tcBorders>
            <w:vAlign w:val="bottom"/>
          </w:tcPr>
          <w:p>
            <w:pPr>
              <w:pStyle w:val="Compact"/>
              <w:jc w:val="right"/>
            </w:pPr>
            <w:r>
              <w:t xml:space="preserve">Percent Developed</w:t>
            </w:r>
          </w:p>
        </w:tc>
        <w:tc>
          <w:tcPr>
            <w:tcBorders>
              <w:bottom w:val="single"/>
            </w:tcBorders>
            <w:vAlign w:val="bottom"/>
          </w:tcPr>
          <w:p>
            <w:pPr>
              <w:pStyle w:val="Compact"/>
              <w:jc w:val="right"/>
            </w:pPr>
            <w:r>
              <w:t xml:space="preserve">Percent Forest</w:t>
            </w:r>
          </w:p>
        </w:tc>
      </w:tr>
      <w:tr>
        <w:tc>
          <w:p>
            <w:pPr>
              <w:pStyle w:val="Compact"/>
              <w:jc w:val="left"/>
            </w:pPr>
            <w:r>
              <w:t xml:space="preserve">URIWW</w:t>
            </w:r>
          </w:p>
        </w:tc>
        <w:tc>
          <w:p>
            <w:pPr>
              <w:pStyle w:val="Compact"/>
              <w:jc w:val="right"/>
            </w:pPr>
            <w:r>
              <w:t xml:space="preserve">15.1</w:t>
            </w:r>
          </w:p>
        </w:tc>
        <w:tc>
          <w:p>
            <w:pPr>
              <w:pStyle w:val="Compact"/>
              <w:jc w:val="right"/>
            </w:pPr>
            <w:r>
              <w:t xml:space="preserve">5.1</w:t>
            </w:r>
          </w:p>
        </w:tc>
        <w:tc>
          <w:p>
            <w:pPr>
              <w:pStyle w:val="Compact"/>
              <w:jc w:val="right"/>
            </w:pPr>
            <w:r>
              <w:t xml:space="preserve">5.6</w:t>
            </w:r>
          </w:p>
        </w:tc>
        <w:tc>
          <w:p>
            <w:pPr>
              <w:pStyle w:val="Compact"/>
              <w:jc w:val="right"/>
            </w:pPr>
            <w:r>
              <w:t xml:space="preserve">27.5</w:t>
            </w:r>
          </w:p>
        </w:tc>
        <w:tc>
          <w:p>
            <w:pPr>
              <w:pStyle w:val="Compact"/>
              <w:jc w:val="right"/>
            </w:pPr>
            <w:r>
              <w:t xml:space="preserve">40.7</w:t>
            </w:r>
          </w:p>
        </w:tc>
      </w:tr>
      <w:tr>
        <w:tc>
          <w:p>
            <w:pPr>
              <w:pStyle w:val="Compact"/>
              <w:jc w:val="left"/>
            </w:pPr>
            <w:r>
              <w:t xml:space="preserve">LAGOSNE</w:t>
            </w:r>
          </w:p>
        </w:tc>
        <w:tc>
          <w:p>
            <w:pPr>
              <w:pStyle w:val="Compact"/>
              <w:jc w:val="right"/>
            </w:pPr>
            <w:r>
              <w:t xml:space="preserve">27.9</w:t>
            </w:r>
          </w:p>
        </w:tc>
        <w:tc>
          <w:p>
            <w:pPr>
              <w:pStyle w:val="Compact"/>
              <w:jc w:val="right"/>
            </w:pPr>
            <w:r>
              <w:t xml:space="preserve">9.6</w:t>
            </w:r>
          </w:p>
        </w:tc>
        <w:tc>
          <w:p>
            <w:pPr>
              <w:pStyle w:val="Compact"/>
              <w:jc w:val="right"/>
            </w:pPr>
            <w:r>
              <w:t xml:space="preserve">19.3</w:t>
            </w:r>
          </w:p>
        </w:tc>
        <w:tc>
          <w:p>
            <w:pPr>
              <w:pStyle w:val="Compact"/>
              <w:jc w:val="right"/>
            </w:pPr>
            <w:r>
              <w:t xml:space="preserve">11.3</w:t>
            </w:r>
          </w:p>
        </w:tc>
        <w:tc>
          <w:p>
            <w:pPr>
              <w:pStyle w:val="Compact"/>
              <w:jc w:val="right"/>
            </w:pPr>
            <w:r>
              <w:t xml:space="preserve">41.2</w:t>
            </w:r>
          </w:p>
        </w:tc>
      </w:tr>
    </w:tbl>
    <w:p>
      <w:pPr>
        <w:pStyle w:val="BodyText"/>
      </w:pPr>
      <w:r>
        <w:t xml:space="preserve">Table 3: Average landscape context and lake morphometry summary statistics for lakes in URIWW and LAGOSNE.</w:t>
      </w:r>
    </w:p>
    <w:p>
      <w:pPr>
        <w:pStyle w:val="Heading6"/>
      </w:pPr>
      <w:bookmarkStart w:id="111" w:name="section-3"/>
      <w:bookmarkEnd w:id="111"/>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Temperature</w:t>
            </w:r>
          </w:p>
        </w:tc>
        <w:tc>
          <w:p>
            <w:pPr>
              <w:pStyle w:val="Compact"/>
              <w:jc w:val="left"/>
            </w:pPr>
            <w:r>
              <w:t xml:space="preserve">°C</w:t>
            </w:r>
          </w:p>
        </w:tc>
        <w:tc>
          <w:p>
            <w:pPr>
              <w:pStyle w:val="Compact"/>
              <w:jc w:val="right"/>
            </w:pPr>
            <w:r>
              <w:t xml:space="preserve">21.9</w:t>
            </w:r>
          </w:p>
        </w:tc>
        <w:tc>
          <w:p>
            <w:pPr>
              <w:pStyle w:val="Compact"/>
              <w:jc w:val="right"/>
            </w:pPr>
            <w:r>
              <w:t xml:space="preserve">22.80</w:t>
            </w:r>
          </w:p>
        </w:tc>
        <w:tc>
          <w:p>
            <w:pPr>
              <w:pStyle w:val="Compact"/>
              <w:jc w:val="right"/>
            </w:pPr>
            <w:r>
              <w:t xml:space="preserve">23.0</w:t>
            </w:r>
          </w:p>
        </w:tc>
        <w:tc>
          <w:p>
            <w:pPr>
              <w:pStyle w:val="Compact"/>
              <w:jc w:val="right"/>
            </w:pPr>
            <w:r>
              <w:t xml:space="preserve">24.0</w:t>
            </w:r>
          </w:p>
        </w:tc>
        <w:tc>
          <w:p>
            <w:pPr>
              <w:pStyle w:val="Compact"/>
              <w:jc w:val="right"/>
            </w:pPr>
            <w:r>
              <w:t xml:space="preserve">27.0</w:t>
            </w:r>
          </w:p>
        </w:tc>
        <w:tc>
          <w:p>
            <w:pPr>
              <w:pStyle w:val="Compact"/>
              <w:jc w:val="right"/>
            </w:pPr>
            <w:r>
              <w:t xml:space="preserve">1.9</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w:t>
            </w:r>
          </w:p>
        </w:tc>
        <w:tc>
          <w:p>
            <w:pPr>
              <w:pStyle w:val="Compact"/>
              <w:jc w:val="right"/>
            </w:pPr>
            <w:r>
              <w:t xml:space="preserve">580.00</w:t>
            </w:r>
          </w:p>
        </w:tc>
        <w:tc>
          <w:p>
            <w:pPr>
              <w:pStyle w:val="Compact"/>
              <w:jc w:val="right"/>
            </w:pPr>
            <w:r>
              <w:t xml:space="preserve">460.0</w:t>
            </w:r>
          </w:p>
        </w:tc>
        <w:tc>
          <w:p>
            <w:pPr>
              <w:pStyle w:val="Compact"/>
              <w:jc w:val="right"/>
            </w:pPr>
            <w:r>
              <w:t xml:space="preserve">660.0</w:t>
            </w:r>
          </w:p>
        </w:tc>
        <w:tc>
          <w:p>
            <w:pPr>
              <w:pStyle w:val="Compact"/>
              <w:jc w:val="right"/>
            </w:pPr>
            <w:r>
              <w:t xml:space="preserve">4415.0</w:t>
            </w:r>
          </w:p>
        </w:tc>
        <w:tc>
          <w:p>
            <w:pPr>
              <w:pStyle w:val="Compact"/>
              <w:jc w:val="right"/>
            </w:pPr>
            <w:r>
              <w:t xml:space="preserve">375.0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w:t>
            </w:r>
          </w:p>
        </w:tc>
        <w:tc>
          <w:p>
            <w:pPr>
              <w:pStyle w:val="Compact"/>
              <w:jc w:val="right"/>
            </w:pPr>
            <w:r>
              <w:t xml:space="preserve">22.00</w:t>
            </w:r>
          </w:p>
        </w:tc>
        <w:tc>
          <w:p>
            <w:pPr>
              <w:pStyle w:val="Compact"/>
              <w:jc w:val="right"/>
            </w:pPr>
            <w:r>
              <w:t xml:space="preserve">15.0</w:t>
            </w:r>
          </w:p>
        </w:tc>
        <w:tc>
          <w:p>
            <w:pPr>
              <w:pStyle w:val="Compact"/>
              <w:jc w:val="right"/>
            </w:pPr>
            <w:r>
              <w:t xml:space="preserve">22.0</w:t>
            </w:r>
          </w:p>
        </w:tc>
        <w:tc>
          <w:p>
            <w:pPr>
              <w:pStyle w:val="Compact"/>
              <w:jc w:val="right"/>
            </w:pPr>
            <w:r>
              <w:t xml:space="preserve">373.0</w:t>
            </w:r>
          </w:p>
        </w:tc>
        <w:tc>
          <w:p>
            <w:pPr>
              <w:pStyle w:val="Compact"/>
              <w:jc w:val="right"/>
            </w:pPr>
            <w:r>
              <w:t xml:space="preserve">28.0</w:t>
            </w:r>
          </w:p>
        </w:tc>
      </w:tr>
      <w:tr>
        <w:tc>
          <w:p>
            <w:pPr>
              <w:pStyle w:val="Compact"/>
              <w:jc w:val="left"/>
            </w:pPr>
            <w:r>
              <w:t xml:space="preserve">N:P</w:t>
            </w:r>
          </w:p>
        </w:tc>
        <w:tc>
          <w:p>
            <w:pPr>
              <w:pStyle w:val="Compact"/>
              <w:jc w:val="left"/>
            </w:pPr>
            <w:r>
              <w:t xml:space="preserve">molar</w:t>
            </w:r>
          </w:p>
        </w:tc>
        <w:tc>
          <w:p>
            <w:pPr>
              <w:pStyle w:val="Compact"/>
              <w:jc w:val="right"/>
            </w:pPr>
            <w:r>
              <w:t xml:space="preserve">51.0</w:t>
            </w:r>
          </w:p>
        </w:tc>
        <w:tc>
          <w:p>
            <w:pPr>
              <w:pStyle w:val="Compact"/>
              <w:jc w:val="right"/>
            </w:pPr>
            <w:r>
              <w:t xml:space="preserve">80.21</w:t>
            </w:r>
          </w:p>
        </w:tc>
        <w:tc>
          <w:p>
            <w:pPr>
              <w:pStyle w:val="Compact"/>
              <w:jc w:val="right"/>
            </w:pPr>
            <w:r>
              <w:t xml:space="preserve">68.1</w:t>
            </w:r>
          </w:p>
        </w:tc>
        <w:tc>
          <w:p>
            <w:pPr>
              <w:pStyle w:val="Compact"/>
              <w:jc w:val="right"/>
            </w:pPr>
            <w:r>
              <w:t xml:space="preserve">88.4</w:t>
            </w:r>
          </w:p>
        </w:tc>
        <w:tc>
          <w:p>
            <w:pPr>
              <w:pStyle w:val="Compact"/>
              <w:jc w:val="right"/>
            </w:pPr>
            <w:r>
              <w:t xml:space="preserve">1326.0</w:t>
            </w:r>
          </w:p>
        </w:tc>
        <w:tc>
          <w:p>
            <w:pPr>
              <w:pStyle w:val="Compact"/>
              <w:jc w:val="right"/>
            </w:pPr>
            <w:r>
              <w:t xml:space="preserve">69.5</w:t>
            </w:r>
          </w:p>
        </w:tc>
      </w:tr>
      <w:tr>
        <w:tc>
          <w:p>
            <w:pPr>
              <w:pStyle w:val="Compact"/>
              <w:jc w:val="left"/>
            </w:pPr>
            <w:r>
              <w:t xml:space="preserve">Chlorophyll</w:t>
            </w:r>
          </w:p>
        </w:tc>
        <w:tc>
          <w:p>
            <w:pPr>
              <w:pStyle w:val="Compact"/>
              <w:jc w:val="left"/>
            </w:pPr>
            <w:r>
              <w:t xml:space="preserve">µg/l</w:t>
            </w:r>
          </w:p>
        </w:tc>
        <w:tc>
          <w:p>
            <w:pPr>
              <w:pStyle w:val="Compact"/>
              <w:jc w:val="right"/>
            </w:pPr>
            <w:r>
              <w:t xml:space="preserve">2.0</w:t>
            </w:r>
          </w:p>
        </w:tc>
        <w:tc>
          <w:p>
            <w:pPr>
              <w:pStyle w:val="Compact"/>
              <w:jc w:val="right"/>
            </w:pPr>
            <w:r>
              <w:t xml:space="preserve">7.50</w:t>
            </w:r>
          </w:p>
        </w:tc>
        <w:tc>
          <w:p>
            <w:pPr>
              <w:pStyle w:val="Compact"/>
              <w:jc w:val="right"/>
            </w:pPr>
            <w:r>
              <w:t xml:space="preserve">3.5</w:t>
            </w:r>
          </w:p>
        </w:tc>
        <w:tc>
          <w:p>
            <w:pPr>
              <w:pStyle w:val="Compact"/>
              <w:jc w:val="right"/>
            </w:pPr>
            <w:r>
              <w:t xml:space="preserve">7.6</w:t>
            </w:r>
          </w:p>
        </w:tc>
        <w:tc>
          <w:p>
            <w:pPr>
              <w:pStyle w:val="Compact"/>
              <w:jc w:val="right"/>
            </w:pPr>
            <w:r>
              <w:t xml:space="preserve">134.5</w:t>
            </w:r>
          </w:p>
        </w:tc>
        <w:tc>
          <w:p>
            <w:pPr>
              <w:pStyle w:val="Compact"/>
              <w:jc w:val="right"/>
            </w:pPr>
            <w:r>
              <w:t xml:space="preserve">11.7</w:t>
            </w:r>
          </w:p>
        </w:tc>
      </w:tr>
    </w:tbl>
    <w:p>
      <w:pPr>
        <w:pStyle w:val="BodyText"/>
      </w:pPr>
      <w:r>
        <w:t xml:space="preserve">Table 4: Summary statistics for URI Watershed Watch data from 1993 to 2016.</w:t>
      </w:r>
    </w:p>
    <w:p>
      <w:pPr>
        <w:pStyle w:val="Heading6"/>
      </w:pPr>
      <w:bookmarkStart w:id="112" w:name="section-4"/>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355.00</w:t>
            </w:r>
          </w:p>
        </w:tc>
        <w:tc>
          <w:p>
            <w:pPr>
              <w:pStyle w:val="Compact"/>
              <w:jc w:val="right"/>
            </w:pPr>
            <w:r>
              <w:t xml:space="preserve">705.0</w:t>
            </w:r>
          </w:p>
        </w:tc>
        <w:tc>
          <w:p>
            <w:pPr>
              <w:pStyle w:val="Compact"/>
              <w:jc w:val="right"/>
            </w:pPr>
            <w:r>
              <w:t xml:space="preserve">530.0</w:t>
            </w:r>
          </w:p>
        </w:tc>
        <w:tc>
          <w:p>
            <w:pPr>
              <w:pStyle w:val="Compact"/>
              <w:jc w:val="right"/>
            </w:pPr>
            <w:r>
              <w:t xml:space="preserve">855.00</w:t>
            </w:r>
          </w:p>
        </w:tc>
        <w:tc>
          <w:p>
            <w:pPr>
              <w:pStyle w:val="Compact"/>
              <w:jc w:val="right"/>
            </w:pPr>
            <w:r>
              <w:t xml:space="preserve">10100.0</w:t>
            </w:r>
          </w:p>
        </w:tc>
        <w:tc>
          <w:p>
            <w:pPr>
              <w:pStyle w:val="Compact"/>
              <w:jc w:val="right"/>
            </w:pPr>
            <w:r>
              <w:t xml:space="preserve">685.00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10.00</w:t>
            </w:r>
          </w:p>
        </w:tc>
        <w:tc>
          <w:p>
            <w:pPr>
              <w:pStyle w:val="Compact"/>
              <w:jc w:val="right"/>
            </w:pPr>
            <w:r>
              <w:t xml:space="preserve">28.0</w:t>
            </w:r>
          </w:p>
        </w:tc>
        <w:tc>
          <w:p>
            <w:pPr>
              <w:pStyle w:val="Compact"/>
              <w:jc w:val="right"/>
            </w:pPr>
            <w:r>
              <w:t xml:space="preserve">16.0</w:t>
            </w:r>
          </w:p>
        </w:tc>
        <w:tc>
          <w:p>
            <w:pPr>
              <w:pStyle w:val="Compact"/>
              <w:jc w:val="right"/>
            </w:pPr>
            <w:r>
              <w:t xml:space="preserve">28.00</w:t>
            </w:r>
          </w:p>
        </w:tc>
        <w:tc>
          <w:p>
            <w:pPr>
              <w:pStyle w:val="Compact"/>
              <w:jc w:val="right"/>
            </w:pPr>
            <w:r>
              <w:t xml:space="preserve">848.0</w:t>
            </w:r>
          </w:p>
        </w:tc>
        <w:tc>
          <w:p>
            <w:pPr>
              <w:pStyle w:val="Compact"/>
              <w:jc w:val="right"/>
            </w:pPr>
            <w:r>
              <w:t xml:space="preserve">43.00</w:t>
            </w:r>
          </w:p>
        </w:tc>
      </w:tr>
      <w:tr>
        <w:tc>
          <w:p>
            <w:pPr>
              <w:pStyle w:val="Compact"/>
              <w:jc w:val="left"/>
            </w:pPr>
            <w:r>
              <w:t xml:space="preserve">N:P</w:t>
            </w:r>
          </w:p>
        </w:tc>
        <w:tc>
          <w:p>
            <w:pPr>
              <w:pStyle w:val="Compact"/>
              <w:jc w:val="left"/>
            </w:pPr>
            <w:r>
              <w:t xml:space="preserve">molar</w:t>
            </w:r>
          </w:p>
        </w:tc>
        <w:tc>
          <w:p>
            <w:pPr>
              <w:pStyle w:val="Compact"/>
              <w:jc w:val="right"/>
            </w:pPr>
            <w:r>
              <w:t xml:space="preserve">43.77</w:t>
            </w:r>
          </w:p>
        </w:tc>
        <w:tc>
          <w:p>
            <w:pPr>
              <w:pStyle w:val="Compact"/>
              <w:jc w:val="right"/>
            </w:pPr>
            <w:r>
              <w:t xml:space="preserve">77.2</w:t>
            </w:r>
          </w:p>
        </w:tc>
        <w:tc>
          <w:p>
            <w:pPr>
              <w:pStyle w:val="Compact"/>
              <w:jc w:val="right"/>
            </w:pPr>
            <w:r>
              <w:t xml:space="preserve">62.2</w:t>
            </w:r>
          </w:p>
        </w:tc>
        <w:tc>
          <w:p>
            <w:pPr>
              <w:pStyle w:val="Compact"/>
              <w:jc w:val="right"/>
            </w:pPr>
            <w:r>
              <w:t xml:space="preserve">89.05</w:t>
            </w:r>
          </w:p>
        </w:tc>
        <w:tc>
          <w:p>
            <w:pPr>
              <w:pStyle w:val="Compact"/>
              <w:jc w:val="right"/>
            </w:pPr>
            <w:r>
              <w:t xml:space="preserve">1246.5</w:t>
            </w:r>
          </w:p>
        </w:tc>
        <w:tc>
          <w:p>
            <w:pPr>
              <w:pStyle w:val="Compact"/>
              <w:jc w:val="right"/>
            </w:pPr>
            <w:r>
              <w:t xml:space="preserve">62.79</w:t>
            </w:r>
          </w:p>
        </w:tc>
      </w:tr>
      <w:tr>
        <w:tc>
          <w:p>
            <w:pPr>
              <w:pStyle w:val="Compact"/>
              <w:jc w:val="left"/>
            </w:pPr>
            <w:r>
              <w:t xml:space="preserve">Chlorophyll</w:t>
            </w:r>
          </w:p>
        </w:tc>
        <w:tc>
          <w:p>
            <w:pPr>
              <w:pStyle w:val="Compact"/>
              <w:jc w:val="left"/>
            </w:pPr>
            <w:r>
              <w:t xml:space="preserve">µg/l</w:t>
            </w:r>
          </w:p>
        </w:tc>
        <w:tc>
          <w:p>
            <w:pPr>
              <w:pStyle w:val="Compact"/>
              <w:jc w:val="right"/>
            </w:pPr>
            <w:r>
              <w:t xml:space="preserve">3.00</w:t>
            </w:r>
          </w:p>
        </w:tc>
        <w:tc>
          <w:p>
            <w:pPr>
              <w:pStyle w:val="Compact"/>
              <w:jc w:val="right"/>
            </w:pPr>
            <w:r>
              <w:t xml:space="preserve">14.0</w:t>
            </w:r>
          </w:p>
        </w:tc>
        <w:tc>
          <w:p>
            <w:pPr>
              <w:pStyle w:val="Compact"/>
              <w:jc w:val="right"/>
            </w:pPr>
            <w:r>
              <w:t xml:space="preserve">6.0</w:t>
            </w:r>
          </w:p>
        </w:tc>
        <w:tc>
          <w:p>
            <w:pPr>
              <w:pStyle w:val="Compact"/>
              <w:jc w:val="right"/>
            </w:pPr>
            <w:r>
              <w:t xml:space="preserve">14.60</w:t>
            </w:r>
          </w:p>
        </w:tc>
        <w:tc>
          <w:p>
            <w:pPr>
              <w:pStyle w:val="Compact"/>
              <w:jc w:val="right"/>
            </w:pPr>
            <w:r>
              <w:t xml:space="preserve">360.0</w:t>
            </w:r>
          </w:p>
        </w:tc>
        <w:tc>
          <w:p>
            <w:pPr>
              <w:pStyle w:val="Compact"/>
              <w:jc w:val="right"/>
            </w:pPr>
            <w:r>
              <w:t xml:space="preserve">22.40</w:t>
            </w:r>
          </w:p>
        </w:tc>
      </w:tr>
    </w:tbl>
    <w:p>
      <w:pPr>
        <w:pStyle w:val="BodyText"/>
      </w:pPr>
      <w:r>
        <w:t xml:space="preserve">Table 5: Summary statistics for LAGOSNE data from 1993 to 2016.</w:t>
      </w:r>
    </w:p>
    <w:p>
      <w:pPr>
        <w:pStyle w:val="Heading6"/>
      </w:pPr>
      <w:bookmarkStart w:id="113" w:name="section-5"/>
      <w:bookmarkEnd w:id="113"/>
    </w:p>
    <w:tbl>
      <w:tblPr>
        <w:tblStyle w:val="Table"/>
        <w:tblW w:type="pct" w:w="0.0"/>
        <w:tblLook w:firstRow="1"/>
      </w:tblPr>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Oligotrophic</w:t>
            </w:r>
          </w:p>
        </w:tc>
        <w:tc>
          <w:tcPr>
            <w:tcBorders>
              <w:bottom w:val="single"/>
            </w:tcBorders>
            <w:vAlign w:val="bottom"/>
          </w:tcPr>
          <w:p>
            <w:pPr>
              <w:pStyle w:val="Compact"/>
              <w:jc w:val="right"/>
            </w:pPr>
            <w:r>
              <w:t xml:space="preserve">Mesotrophic</w:t>
            </w:r>
          </w:p>
        </w:tc>
        <w:tc>
          <w:tcPr>
            <w:tcBorders>
              <w:bottom w:val="single"/>
            </w:tcBorders>
            <w:vAlign w:val="bottom"/>
          </w:tcPr>
          <w:p>
            <w:pPr>
              <w:pStyle w:val="Compact"/>
              <w:jc w:val="right"/>
            </w:pPr>
            <w:r>
              <w:t xml:space="preserve">Eutrophic</w:t>
            </w:r>
          </w:p>
        </w:tc>
        <w:tc>
          <w:tcPr>
            <w:tcBorders>
              <w:bottom w:val="single"/>
            </w:tcBorders>
            <w:vAlign w:val="bottom"/>
          </w:tcPr>
          <w:p>
            <w:pPr>
              <w:pStyle w:val="Compact"/>
              <w:jc w:val="right"/>
            </w:pPr>
            <w:r>
              <w:t xml:space="preserve">Hypereutrophic</w:t>
            </w:r>
          </w:p>
        </w:tc>
      </w:tr>
      <w:tr>
        <w:tc>
          <w:p>
            <w:pPr>
              <w:pStyle w:val="Compact"/>
              <w:jc w:val="left"/>
            </w:pPr>
            <w:r>
              <w:t xml:space="preserve">URIWW</w:t>
            </w:r>
          </w:p>
        </w:tc>
        <w:tc>
          <w:p>
            <w:pPr>
              <w:pStyle w:val="Compact"/>
              <w:jc w:val="right"/>
            </w:pPr>
            <w:r>
              <w:t xml:space="preserve">21.4</w:t>
            </w:r>
          </w:p>
        </w:tc>
        <w:tc>
          <w:p>
            <w:pPr>
              <w:pStyle w:val="Compact"/>
              <w:jc w:val="right"/>
            </w:pPr>
            <w:r>
              <w:t xml:space="preserve">42.9</w:t>
            </w:r>
          </w:p>
        </w:tc>
        <w:tc>
          <w:p>
            <w:pPr>
              <w:pStyle w:val="Compact"/>
              <w:jc w:val="right"/>
            </w:pPr>
            <w:r>
              <w:t xml:space="preserve">20.2</w:t>
            </w:r>
          </w:p>
        </w:tc>
        <w:tc>
          <w:p>
            <w:pPr>
              <w:pStyle w:val="Compact"/>
              <w:jc w:val="right"/>
            </w:pPr>
            <w:r>
              <w:t xml:space="preserve">15.5</w:t>
            </w:r>
          </w:p>
        </w:tc>
      </w:tr>
      <w:tr>
        <w:tc>
          <w:p>
            <w:pPr>
              <w:pStyle w:val="Compact"/>
              <w:jc w:val="left"/>
            </w:pPr>
            <w:r>
              <w:t xml:space="preserve">LAGOSNE</w:t>
            </w:r>
          </w:p>
        </w:tc>
        <w:tc>
          <w:p>
            <w:pPr>
              <w:pStyle w:val="Compact"/>
              <w:jc w:val="right"/>
            </w:pPr>
            <w:r>
              <w:t xml:space="preserve">12.4</w:t>
            </w:r>
          </w:p>
        </w:tc>
        <w:tc>
          <w:p>
            <w:pPr>
              <w:pStyle w:val="Compact"/>
              <w:jc w:val="right"/>
            </w:pPr>
            <w:r>
              <w:t xml:space="preserve">38.6</w:t>
            </w:r>
          </w:p>
        </w:tc>
        <w:tc>
          <w:p>
            <w:pPr>
              <w:pStyle w:val="Compact"/>
              <w:jc w:val="right"/>
            </w:pPr>
            <w:r>
              <w:t xml:space="preserve">24.6</w:t>
            </w:r>
          </w:p>
        </w:tc>
        <w:tc>
          <w:p>
            <w:pPr>
              <w:pStyle w:val="Compact"/>
              <w:jc w:val="right"/>
            </w:pPr>
            <w:r>
              <w:t xml:space="preserve">24.3</w:t>
            </w:r>
          </w:p>
        </w:tc>
      </w:tr>
    </w:tbl>
    <w:p>
      <w:pPr>
        <w:pStyle w:val="BodyText"/>
      </w:pPr>
      <w:r>
        <w:t xml:space="preserve">Table 6: Percentage of lakes and reservoirs in different chlorophyll based trophic states.</w:t>
      </w:r>
    </w:p>
    <w:p>
      <w:pPr>
        <w:pStyle w:val="Heading6"/>
      </w:pPr>
      <w:bookmarkStart w:id="114" w:name="section-6"/>
      <w:bookmarkEnd w:id="114"/>
    </w:p>
    <w:tbl>
      <w:tblPr>
        <w:tblStyle w:val="Table"/>
        <w:tblW w:type="pct" w:w="5000.0"/>
        <w:tblLook w:firstRow="1"/>
      </w:tblPr>
      <w:tblGrid>
        <w:gridCol w:w="754"/>
        <w:gridCol w:w="1131"/>
        <w:gridCol w:w="1131"/>
        <w:gridCol w:w="1414"/>
        <w:gridCol w:w="1602"/>
        <w:gridCol w:w="1885"/>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Temperautre</w:t>
            </w:r>
          </w:p>
        </w:tc>
        <w:tc>
          <w:tcPr>
            <w:tcBorders>
              <w:bottom w:val="single"/>
            </w:tcBorders>
            <w:vAlign w:val="bottom"/>
          </w:tcPr>
          <w:p>
            <w:pPr>
              <w:pStyle w:val="Compact"/>
              <w:jc w:val="left"/>
            </w:pPr>
            <w:r>
              <w:t xml:space="preserve">Chlorophyll</w:t>
            </w:r>
          </w:p>
        </w:tc>
        <w:tc>
          <w:tcPr>
            <w:tcBorders>
              <w:bottom w:val="single"/>
            </w:tcBorders>
            <w:vAlign w:val="bottom"/>
          </w:tcPr>
          <w:p>
            <w:pPr>
              <w:pStyle w:val="Compact"/>
              <w:jc w:val="left"/>
            </w:pPr>
            <w:r>
              <w:t xml:space="preserve">Total Nitrogen</w:t>
            </w:r>
          </w:p>
        </w:tc>
        <w:tc>
          <w:tcPr>
            <w:tcBorders>
              <w:bottom w:val="single"/>
            </w:tcBorders>
            <w:vAlign w:val="bottom"/>
          </w:tcPr>
          <w:p>
            <w:pPr>
              <w:pStyle w:val="Compact"/>
              <w:jc w:val="left"/>
            </w:pPr>
            <w:r>
              <w:t xml:space="preserve">Total Phosphorus</w:t>
            </w:r>
          </w:p>
        </w:tc>
        <w:tc>
          <w:tcPr>
            <w:tcBorders>
              <w:bottom w:val="single"/>
            </w:tcBorders>
            <w:vAlign w:val="bottom"/>
          </w:tcPr>
          <w:p>
            <w:pPr>
              <w:pStyle w:val="Compact"/>
              <w:jc w:val="left"/>
            </w:pPr>
            <w:r>
              <w:t xml:space="preserve">Nitrogen:Phosphorus</w:t>
            </w:r>
          </w:p>
        </w:tc>
      </w:tr>
      <w:tr>
        <w:tc>
          <w:p>
            <w:pPr>
              <w:pStyle w:val="Compact"/>
              <w:jc w:val="left"/>
            </w:pPr>
            <w:r>
              <w:t xml:space="preserve">URIWW</w:t>
            </w:r>
          </w:p>
        </w:tc>
        <w:tc>
          <w:p>
            <w:pPr>
              <w:pStyle w:val="Compact"/>
              <w:jc w:val="left"/>
            </w:pPr>
            <w:r>
              <w:t xml:space="preserve">++</w:t>
            </w:r>
          </w:p>
        </w:tc>
        <w:tc>
          <w:p>
            <w:pPr>
              <w:pStyle w:val="Compact"/>
              <w:jc w:val="left"/>
            </w:pPr>
            <w:r>
              <w:t xml:space="preserv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LAGOSNE</w:t>
            </w:r>
          </w:p>
        </w:tc>
        <w:tc>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left"/>
            </w:pPr>
            <w:r>
              <w:t xml:space="preserve">0</w:t>
            </w:r>
          </w:p>
        </w:tc>
      </w:tr>
    </w:tbl>
    <w:p>
      <w:pPr>
        <w:pStyle w:val="BodyText"/>
      </w:pPr>
      <w:r>
        <w:t xml:space="preserve">Table 7: Summary of long term water quality trends in the URIWW and LAGOSENE data.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p>
      <w:pPr>
        <w:pStyle w:val="Heading6"/>
      </w:pPr>
      <w:bookmarkStart w:id="115" w:name="section-7"/>
      <w:bookmarkEnd w:id="115"/>
    </w:p>
    <w:p>
      <w:pPr>
        <w:pStyle w:val="Heading1"/>
      </w:pPr>
      <w:bookmarkStart w:id="116" w:name="figures"/>
      <w:r>
        <w:t xml:space="preserve">Figures</w:t>
      </w:r>
      <w:bookmarkEnd w:id="116"/>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17"/>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118" w:name="section-8"/>
      <w:bookmarkEnd w:id="118"/>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19"/>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p>
      <w:pPr>
        <w:pStyle w:val="Heading6"/>
      </w:pPr>
      <w:bookmarkStart w:id="120" w:name="section-9"/>
      <w:bookmarkEnd w:id="120"/>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21"/>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w:t>
      </w:r>
    </w:p>
    <w:p>
      <w:pPr>
        <w:pStyle w:val="Heading6"/>
      </w:pPr>
      <w:bookmarkStart w:id="122" w:name="section-10"/>
      <w:bookmarkEnd w:id="122"/>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23"/>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Twenty year trend for median chlorphyll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w:t>
      </w:r>
    </w:p>
    <w:p>
      <w:pPr>
        <w:pStyle w:val="Heading6"/>
      </w:pPr>
      <w:bookmarkStart w:id="124" w:name="section-11"/>
      <w:bookmarkEnd w:id="124"/>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25"/>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p>
      <w:pPr>
        <w:pStyle w:val="Heading6"/>
      </w:pPr>
      <w:bookmarkStart w:id="126" w:name="section-12"/>
      <w:bookmarkEnd w:id="126"/>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27"/>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p>
      <w:pPr>
        <w:pStyle w:val="Heading6"/>
      </w:pPr>
      <w:bookmarkStart w:id="128" w:name="section-13"/>
      <w:bookmarkEnd w:id="128"/>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2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 specific anomalies that were equal to the long-term medians. Missing years had insufficient data and an asterisk indicates years with only 3 sites and error bars are the range of the data.</w:t>
      </w:r>
    </w:p>
    <w:p>
      <w:pPr>
        <w:pStyle w:val="Heading6"/>
      </w:pPr>
      <w:bookmarkStart w:id="130" w:name="section-14"/>
      <w:bookmarkEnd w:id="130"/>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31"/>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random data showing example of sites with a low site early in a time period, a high site late in a time period, and one site measured across the time period.</w:t>
      </w:r>
    </w:p>
    <w:p>
      <w:pPr>
        <w:pStyle w:val="Heading6"/>
      </w:pPr>
      <w:bookmarkStart w:id="132" w:name="section-15"/>
      <w:bookmarkEnd w:id="132"/>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3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random data with a low site early in a time period, a high site late in a time period, and one site measured across the time period. Yearly average of the actual values is shown in red and yearly average of the site-specific anomalies is shown in blue.</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9" Target="media/rId129.jpg" /><Relationship Type="http://schemas.openxmlformats.org/officeDocument/2006/relationships/image" Id="rId125" Target="media/rId125.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131" Target="media/rId131.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hyperlink" Id="rId93" Target="https://cran.r-project.org/package=LAGOSNE" TargetMode="External" /><Relationship Type="http://schemas.openxmlformats.org/officeDocument/2006/relationships/hyperlink" Id="rId23" Target="https://doi.org/10.5281/zenodo.4050275" TargetMode="External" /><Relationship Type="http://schemas.openxmlformats.org/officeDocument/2006/relationships/hyperlink" Id="rId33" Target="https://github.com/USEPA/ri_wq_trends/blob/master/data/yearly_average_anomaly.csv" TargetMode="External" /><Relationship Type="http://schemas.openxmlformats.org/officeDocument/2006/relationships/hyperlink" Id="rId22" Target="https://github.com/usepa/ri_wq_trends" TargetMode="External" /><Relationship Type="http://schemas.openxmlformats.org/officeDocument/2006/relationships/hyperlink" Id="rId29" Target="https://github.com/usepa/ri_wq_trends/blob/master/R/schematic_anomaly.R" TargetMode="External" /><Relationship Type="http://schemas.openxmlformats.org/officeDocument/2006/relationships/hyperlink" Id="rId98" Target="https://treaties.un.org/doc/Treaties/2016/02/20160215%2006-03%20PM/Ch_XXVII-7-d.pdf"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cran.r-project.org/package=LAGOSNE" TargetMode="External" /><Relationship Type="http://schemas.openxmlformats.org/officeDocument/2006/relationships/hyperlink" Id="rId23" Target="https://doi.org/10.5281/zenodo.4050275" TargetMode="External" /><Relationship Type="http://schemas.openxmlformats.org/officeDocument/2006/relationships/hyperlink" Id="rId33" Target="https://github.com/USEPA/ri_wq_trends/blob/master/data/yearly_average_anomaly.csv" TargetMode="External" /><Relationship Type="http://schemas.openxmlformats.org/officeDocument/2006/relationships/hyperlink" Id="rId22" Target="https://github.com/usepa/ri_wq_trends" TargetMode="External" /><Relationship Type="http://schemas.openxmlformats.org/officeDocument/2006/relationships/hyperlink" Id="rId29" Target="https://github.com/usepa/ri_wq_trends/blob/master/R/schematic_anomaly.R" TargetMode="External" /><Relationship Type="http://schemas.openxmlformats.org/officeDocument/2006/relationships/hyperlink" Id="rId98" Target="https://treaties.un.org/doc/Treaties/2016/02/20160215%2006-03%20PM/Ch_XXVII-7-d.pdf"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dcterms:created xsi:type="dcterms:W3CDTF">2020-09-29T19:06:03Z</dcterms:created>
  <dcterms:modified xsi:type="dcterms:W3CDTF">2020-09-29T19:06:03Z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for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shows similar trends to prior studies of the LAGOSNE with chlorophyll a, total nitrogen, and N:P all stable over time. Total phosphorus does show a very slight increase. In short, algal biomass, as measured by chlorophyll a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